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3BE47" w14:textId="77777777" w:rsidR="00061842" w:rsidRDefault="00E348E0">
      <w:pPr>
        <w:rPr>
          <w:rFonts w:ascii="Arial" w:eastAsia="Arial" w:hAnsi="Arial" w:cs="Arial"/>
          <w:color w:val="FF9900"/>
          <w:sz w:val="28"/>
          <w:szCs w:val="28"/>
        </w:rPr>
      </w:pPr>
      <w:r>
        <w:rPr>
          <w:rFonts w:ascii="Arial" w:eastAsia="Arial" w:hAnsi="Arial" w:cs="Arial"/>
          <w:b/>
          <w:noProof/>
          <w:color w:val="FF9900"/>
          <w:sz w:val="28"/>
          <w:szCs w:val="28"/>
          <w:lang w:val="en-GB" w:eastAsia="en-GB"/>
        </w:rPr>
        <w:drawing>
          <wp:inline distT="0" distB="0" distL="114300" distR="114300" wp14:anchorId="460DD2F3" wp14:editId="1B627EC2">
            <wp:extent cx="971550" cy="4381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71550" cy="438150"/>
                    </a:xfrm>
                    <a:prstGeom prst="rect">
                      <a:avLst/>
                    </a:prstGeom>
                    <a:ln/>
                  </pic:spPr>
                </pic:pic>
              </a:graphicData>
            </a:graphic>
          </wp:inline>
        </w:drawing>
      </w:r>
    </w:p>
    <w:p w14:paraId="2EB76F07" w14:textId="77777777" w:rsidR="00061842" w:rsidRDefault="00061842">
      <w:pPr>
        <w:rPr>
          <w:rFonts w:ascii="Arial" w:eastAsia="Arial" w:hAnsi="Arial" w:cs="Arial"/>
          <w:color w:val="FF9900"/>
          <w:sz w:val="28"/>
          <w:szCs w:val="28"/>
        </w:rPr>
      </w:pPr>
    </w:p>
    <w:p w14:paraId="4E2B3316" w14:textId="77777777" w:rsidR="00061842" w:rsidRDefault="00806C66">
      <w:pPr>
        <w:rPr>
          <w:rFonts w:ascii="Arial" w:eastAsia="Arial" w:hAnsi="Arial" w:cs="Arial"/>
          <w:color w:val="FF9900"/>
          <w:sz w:val="28"/>
          <w:szCs w:val="28"/>
        </w:rPr>
      </w:pPr>
      <w:r>
        <w:rPr>
          <w:noProof/>
          <w:lang w:val="en-GB" w:eastAsia="en-GB"/>
        </w:rPr>
        <mc:AlternateContent>
          <mc:Choice Requires="wps">
            <w:drawing>
              <wp:anchor distT="0" distB="0" distL="114300" distR="114300" simplePos="0" relativeHeight="251658240" behindDoc="0" locked="0" layoutInCell="1" hidden="0" allowOverlap="1" wp14:anchorId="2CA5A115" wp14:editId="69217CD7">
                <wp:simplePos x="0" y="0"/>
                <wp:positionH relativeFrom="margin">
                  <wp:posOffset>1685925</wp:posOffset>
                </wp:positionH>
                <wp:positionV relativeFrom="paragraph">
                  <wp:posOffset>109855</wp:posOffset>
                </wp:positionV>
                <wp:extent cx="3924300" cy="0"/>
                <wp:effectExtent l="0" t="19050" r="0" b="19050"/>
                <wp:wrapNone/>
                <wp:docPr id="3" name="Straight Arrow Connector 3"/>
                <wp:cNvGraphicFramePr/>
                <a:graphic xmlns:a="http://schemas.openxmlformats.org/drawingml/2006/main">
                  <a:graphicData uri="http://schemas.microsoft.com/office/word/2010/wordprocessingShape">
                    <wps:wsp>
                      <wps:cNvCnPr/>
                      <wps:spPr>
                        <a:xfrm>
                          <a:off x="0" y="0"/>
                          <a:ext cx="3924300" cy="0"/>
                        </a:xfrm>
                        <a:prstGeom prst="straightConnector1">
                          <a:avLst/>
                        </a:prstGeom>
                        <a:noFill/>
                        <a:ln w="38100" cap="flat" cmpd="sng">
                          <a:solidFill>
                            <a:srgbClr val="FF9900"/>
                          </a:solidFill>
                          <a:prstDash val="solid"/>
                          <a:miter lim="800000"/>
                          <a:headEnd type="none" w="sm" len="sm"/>
                          <a:tailEnd type="none" w="sm" len="sm"/>
                        </a:ln>
                      </wps:spPr>
                      <wps:bodyPr/>
                    </wps:wsp>
                  </a:graphicData>
                </a:graphic>
                <wp14:sizeRelV relativeFrom="margin">
                  <wp14:pctHeight>0</wp14:pctHeight>
                </wp14:sizeRelV>
              </wp:anchor>
            </w:drawing>
          </mc:Choice>
          <mc:Fallback xmlns:w15="http://schemas.microsoft.com/office/word/2012/wordml">
            <w:pict>
              <v:shapetype w14:anchorId="05492E44" id="_x0000_t32" coordsize="21600,21600" o:spt="32" o:oned="t" path="m,l21600,21600e" filled="f">
                <v:path arrowok="t" fillok="f" o:connecttype="none"/>
                <o:lock v:ext="edit" shapetype="t"/>
              </v:shapetype>
              <v:shape id="Straight Arrow Connector 3" o:spid="_x0000_s1026" type="#_x0000_t32" style="position:absolute;margin-left:132.75pt;margin-top:8.65pt;width:309pt;height:0;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" strokecolor="#f90" strokeweight="3pt">
                <v:stroke startarrowwidth="narrow" startarrowlength="short" endarrowwidth="narrow" endarrowlength="short" joinstyle="miter"/>
                <w10:wrap anchorx="margin"/>
              </v:shape>
            </w:pict>
          </mc:Fallback>
        </mc:AlternateContent>
      </w:r>
      <w:r w:rsidR="00E348E0">
        <w:rPr>
          <w:rFonts w:ascii="Arial" w:eastAsia="Arial" w:hAnsi="Arial" w:cs="Arial"/>
          <w:b/>
          <w:color w:val="FF9900"/>
          <w:sz w:val="28"/>
          <w:szCs w:val="28"/>
        </w:rPr>
        <w:t>JOB DESCRIPTION</w:t>
      </w:r>
    </w:p>
    <w:p w14:paraId="6A53C122" w14:textId="77777777" w:rsidR="00061842" w:rsidRDefault="00061842">
      <w:pPr>
        <w:rPr>
          <w:rFonts w:ascii="Arial" w:eastAsia="Arial" w:hAnsi="Arial" w:cs="Arial"/>
          <w:sz w:val="20"/>
          <w:szCs w:val="20"/>
        </w:rPr>
      </w:pPr>
    </w:p>
    <w:tbl>
      <w:tblPr>
        <w:tblStyle w:val="a"/>
        <w:tblW w:w="88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108"/>
        <w:gridCol w:w="3370"/>
        <w:gridCol w:w="3370"/>
      </w:tblGrid>
      <w:tr w:rsidR="00061842" w14:paraId="1A9218AB" w14:textId="77777777">
        <w:trPr>
          <w:trHeight w:val="400"/>
        </w:trPr>
        <w:tc>
          <w:tcPr>
            <w:tcW w:w="2108" w:type="dxa"/>
            <w:vAlign w:val="center"/>
          </w:tcPr>
          <w:p w14:paraId="2A253601" w14:textId="77777777" w:rsidR="00061842" w:rsidRDefault="00E348E0">
            <w:pPr>
              <w:rPr>
                <w:rFonts w:ascii="Arial" w:eastAsia="Arial" w:hAnsi="Arial" w:cs="Arial"/>
                <w:sz w:val="20"/>
                <w:szCs w:val="20"/>
              </w:rPr>
            </w:pPr>
            <w:bookmarkStart w:id="0" w:name="gjdgxs" w:colFirst="0" w:colLast="0"/>
            <w:bookmarkEnd w:id="0"/>
            <w:r>
              <w:rPr>
                <w:rFonts w:ascii="Arial" w:eastAsia="Arial" w:hAnsi="Arial" w:cs="Arial"/>
                <w:b/>
                <w:sz w:val="20"/>
                <w:szCs w:val="20"/>
              </w:rPr>
              <w:t>Official Job Title:</w:t>
            </w:r>
          </w:p>
        </w:tc>
        <w:tc>
          <w:tcPr>
            <w:tcW w:w="6740" w:type="dxa"/>
            <w:gridSpan w:val="2"/>
            <w:vAlign w:val="center"/>
          </w:tcPr>
          <w:p w14:paraId="7095997B" w14:textId="77777777" w:rsidR="00061842" w:rsidRDefault="00E348E0">
            <w:pPr>
              <w:rPr>
                <w:rFonts w:ascii="Arial" w:eastAsia="Arial" w:hAnsi="Arial" w:cs="Arial"/>
                <w:sz w:val="20"/>
                <w:szCs w:val="20"/>
              </w:rPr>
            </w:pPr>
            <w:r>
              <w:rPr>
                <w:rFonts w:ascii="Arial" w:eastAsia="Arial" w:hAnsi="Arial" w:cs="Arial"/>
                <w:b/>
                <w:sz w:val="20"/>
                <w:szCs w:val="20"/>
              </w:rPr>
              <w:t>Programme Specialist- Adolescents &amp; Youth Development and Gender Mainstreaming</w:t>
            </w:r>
          </w:p>
          <w:p w14:paraId="362DEAB6" w14:textId="77777777" w:rsidR="00061842" w:rsidRDefault="00E348E0">
            <w:pPr>
              <w:rPr>
                <w:rFonts w:ascii="Arial" w:eastAsia="Arial" w:hAnsi="Arial" w:cs="Arial"/>
                <w:sz w:val="20"/>
                <w:szCs w:val="20"/>
              </w:rPr>
            </w:pPr>
            <w:r>
              <w:rPr>
                <w:rFonts w:ascii="Arial" w:eastAsia="Arial" w:hAnsi="Arial" w:cs="Arial"/>
                <w:b/>
                <w:sz w:val="20"/>
                <w:szCs w:val="20"/>
              </w:rPr>
              <w:t>Duty Station:  Pretoria, South Africa</w:t>
            </w:r>
          </w:p>
        </w:tc>
      </w:tr>
      <w:tr w:rsidR="00061842" w14:paraId="65877451" w14:textId="77777777">
        <w:trPr>
          <w:trHeight w:val="400"/>
        </w:trPr>
        <w:tc>
          <w:tcPr>
            <w:tcW w:w="2108" w:type="dxa"/>
            <w:vAlign w:val="center"/>
          </w:tcPr>
          <w:p w14:paraId="71C915B6" w14:textId="77777777" w:rsidR="00061842" w:rsidRDefault="00E348E0">
            <w:pPr>
              <w:rPr>
                <w:rFonts w:ascii="Arial" w:eastAsia="Arial" w:hAnsi="Arial" w:cs="Arial"/>
                <w:sz w:val="20"/>
                <w:szCs w:val="20"/>
              </w:rPr>
            </w:pPr>
            <w:r>
              <w:rPr>
                <w:rFonts w:ascii="Arial" w:eastAsia="Arial" w:hAnsi="Arial" w:cs="Arial"/>
                <w:b/>
                <w:sz w:val="20"/>
                <w:szCs w:val="20"/>
              </w:rPr>
              <w:t>Grade (Classified)</w:t>
            </w:r>
          </w:p>
        </w:tc>
        <w:tc>
          <w:tcPr>
            <w:tcW w:w="6740" w:type="dxa"/>
            <w:gridSpan w:val="2"/>
            <w:vAlign w:val="center"/>
          </w:tcPr>
          <w:p w14:paraId="4A52CCCB" w14:textId="77777777" w:rsidR="00061842" w:rsidRDefault="00AC65C1">
            <w:pPr>
              <w:rPr>
                <w:rFonts w:ascii="Arial" w:eastAsia="Arial" w:hAnsi="Arial" w:cs="Arial"/>
                <w:sz w:val="20"/>
                <w:szCs w:val="20"/>
              </w:rPr>
            </w:pPr>
            <w:r>
              <w:rPr>
                <w:rFonts w:ascii="Arial" w:eastAsia="Arial" w:hAnsi="Arial" w:cs="Arial"/>
                <w:b/>
                <w:sz w:val="20"/>
                <w:szCs w:val="20"/>
              </w:rPr>
              <w:t>NO-C</w:t>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r>
          </w:p>
        </w:tc>
      </w:tr>
      <w:tr w:rsidR="00061842" w14:paraId="4537A639" w14:textId="77777777">
        <w:trPr>
          <w:trHeight w:val="400"/>
        </w:trPr>
        <w:tc>
          <w:tcPr>
            <w:tcW w:w="2108" w:type="dxa"/>
            <w:vAlign w:val="center"/>
          </w:tcPr>
          <w:p w14:paraId="188628D6" w14:textId="77777777" w:rsidR="00061842" w:rsidRDefault="00E348E0">
            <w:pPr>
              <w:rPr>
                <w:rFonts w:ascii="Arial" w:eastAsia="Arial" w:hAnsi="Arial" w:cs="Arial"/>
                <w:sz w:val="20"/>
                <w:szCs w:val="20"/>
              </w:rPr>
            </w:pPr>
            <w:r>
              <w:rPr>
                <w:rFonts w:ascii="Arial" w:eastAsia="Arial" w:hAnsi="Arial" w:cs="Arial"/>
                <w:b/>
                <w:sz w:val="20"/>
                <w:szCs w:val="20"/>
              </w:rPr>
              <w:t>Post Number:</w:t>
            </w:r>
          </w:p>
        </w:tc>
        <w:tc>
          <w:tcPr>
            <w:tcW w:w="6740" w:type="dxa"/>
            <w:gridSpan w:val="2"/>
            <w:vAlign w:val="center"/>
          </w:tcPr>
          <w:p w14:paraId="6DD95250" w14:textId="77777777" w:rsidR="00061842" w:rsidRDefault="0085003E">
            <w:pPr>
              <w:rPr>
                <w:rFonts w:ascii="Arial" w:eastAsia="Arial" w:hAnsi="Arial" w:cs="Arial"/>
                <w:sz w:val="20"/>
                <w:szCs w:val="20"/>
              </w:rPr>
            </w:pPr>
            <w:r>
              <w:rPr>
                <w:rFonts w:ascii="Arial" w:eastAsia="Arial" w:hAnsi="Arial" w:cs="Arial"/>
                <w:b/>
                <w:sz w:val="20"/>
                <w:szCs w:val="20"/>
              </w:rPr>
              <w:t>22532</w:t>
            </w:r>
          </w:p>
        </w:tc>
      </w:tr>
      <w:tr w:rsidR="00061842" w14:paraId="5F13EA4A" w14:textId="77777777">
        <w:trPr>
          <w:trHeight w:val="140"/>
        </w:trPr>
        <w:tc>
          <w:tcPr>
            <w:tcW w:w="2108" w:type="dxa"/>
            <w:vAlign w:val="center"/>
          </w:tcPr>
          <w:p w14:paraId="02F0A690" w14:textId="77777777" w:rsidR="00061842" w:rsidRDefault="00E348E0">
            <w:pPr>
              <w:rPr>
                <w:rFonts w:ascii="Arial" w:eastAsia="Arial" w:hAnsi="Arial" w:cs="Arial"/>
                <w:sz w:val="20"/>
                <w:szCs w:val="20"/>
              </w:rPr>
            </w:pPr>
            <w:r>
              <w:rPr>
                <w:rFonts w:ascii="Arial" w:eastAsia="Arial" w:hAnsi="Arial" w:cs="Arial"/>
                <w:b/>
                <w:sz w:val="20"/>
                <w:szCs w:val="20"/>
              </w:rPr>
              <w:t>Post Type:</w:t>
            </w:r>
          </w:p>
        </w:tc>
        <w:tc>
          <w:tcPr>
            <w:tcW w:w="6740" w:type="dxa"/>
            <w:gridSpan w:val="2"/>
            <w:vAlign w:val="center"/>
          </w:tcPr>
          <w:p w14:paraId="65328B39" w14:textId="77777777" w:rsidR="00061842" w:rsidRDefault="00E348E0">
            <w:pPr>
              <w:rPr>
                <w:rFonts w:ascii="Arial" w:eastAsia="Arial" w:hAnsi="Arial" w:cs="Arial"/>
                <w:sz w:val="20"/>
                <w:szCs w:val="20"/>
              </w:rPr>
            </w:pPr>
            <w:r>
              <w:rPr>
                <w:rFonts w:ascii="Arial" w:eastAsia="Arial" w:hAnsi="Arial" w:cs="Arial"/>
                <w:b/>
                <w:sz w:val="20"/>
                <w:szCs w:val="20"/>
              </w:rPr>
              <w:t>☐</w:t>
            </w:r>
            <w:bookmarkStart w:id="1" w:name="30j0zll" w:colFirst="0" w:colLast="0"/>
            <w:bookmarkEnd w:id="1"/>
            <w:r>
              <w:rPr>
                <w:rFonts w:ascii="Arial" w:eastAsia="Arial" w:hAnsi="Arial" w:cs="Arial"/>
                <w:b/>
                <w:sz w:val="20"/>
                <w:szCs w:val="20"/>
              </w:rPr>
              <w:t xml:space="preserve">   Rotational     ☒      Non-Rotational</w:t>
            </w:r>
          </w:p>
        </w:tc>
      </w:tr>
      <w:tr w:rsidR="00061842" w14:paraId="60AE4D87" w14:textId="77777777">
        <w:trPr>
          <w:trHeight w:val="140"/>
        </w:trPr>
        <w:tc>
          <w:tcPr>
            <w:tcW w:w="2108" w:type="dxa"/>
            <w:vAlign w:val="center"/>
          </w:tcPr>
          <w:p w14:paraId="1A100EE6" w14:textId="77777777" w:rsidR="00061842" w:rsidRDefault="00E348E0">
            <w:pPr>
              <w:rPr>
                <w:rFonts w:ascii="Arial" w:eastAsia="Arial" w:hAnsi="Arial" w:cs="Arial"/>
                <w:sz w:val="20"/>
                <w:szCs w:val="20"/>
              </w:rPr>
            </w:pPr>
            <w:r>
              <w:rPr>
                <w:rFonts w:ascii="Arial" w:eastAsia="Arial" w:hAnsi="Arial" w:cs="Arial"/>
                <w:b/>
                <w:sz w:val="20"/>
                <w:szCs w:val="20"/>
              </w:rPr>
              <w:t>Classification Authority:</w:t>
            </w:r>
          </w:p>
        </w:tc>
        <w:tc>
          <w:tcPr>
            <w:tcW w:w="3370" w:type="dxa"/>
            <w:vAlign w:val="center"/>
          </w:tcPr>
          <w:p w14:paraId="75184440" w14:textId="77777777" w:rsidR="00061842" w:rsidRDefault="00061842">
            <w:pPr>
              <w:rPr>
                <w:rFonts w:ascii="Arial" w:eastAsia="Arial" w:hAnsi="Arial" w:cs="Arial"/>
                <w:sz w:val="20"/>
                <w:szCs w:val="20"/>
              </w:rPr>
            </w:pPr>
          </w:p>
        </w:tc>
        <w:tc>
          <w:tcPr>
            <w:tcW w:w="3370" w:type="dxa"/>
            <w:vAlign w:val="center"/>
          </w:tcPr>
          <w:p w14:paraId="3EFF3C04" w14:textId="77777777" w:rsidR="00061842" w:rsidRDefault="00E348E0">
            <w:pPr>
              <w:rPr>
                <w:rFonts w:ascii="Arial" w:eastAsia="Arial" w:hAnsi="Arial" w:cs="Arial"/>
                <w:sz w:val="20"/>
                <w:szCs w:val="20"/>
              </w:rPr>
            </w:pPr>
            <w:bookmarkStart w:id="2" w:name="_1fob9te" w:colFirst="0" w:colLast="0"/>
            <w:bookmarkEnd w:id="2"/>
            <w:r>
              <w:rPr>
                <w:rFonts w:ascii="Arial" w:eastAsia="Arial" w:hAnsi="Arial" w:cs="Arial"/>
                <w:b/>
                <w:sz w:val="20"/>
                <w:szCs w:val="20"/>
              </w:rPr>
              <w:t>Date:   February 2018</w:t>
            </w:r>
          </w:p>
        </w:tc>
      </w:tr>
    </w:tbl>
    <w:p w14:paraId="19E11959" w14:textId="77777777" w:rsidR="00061842" w:rsidRDefault="00061842">
      <w:pPr>
        <w:rPr>
          <w:rFonts w:ascii="Arial" w:eastAsia="Arial" w:hAnsi="Arial" w:cs="Arial"/>
          <w:sz w:val="20"/>
          <w:szCs w:val="20"/>
        </w:rPr>
      </w:pPr>
    </w:p>
    <w:p w14:paraId="6B9634FC" w14:textId="77777777" w:rsidR="00061842" w:rsidRDefault="00E348E0">
      <w:pPr>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rPr>
        <w:tab/>
      </w:r>
      <w:r>
        <w:rPr>
          <w:rFonts w:ascii="Arial" w:eastAsia="Arial" w:hAnsi="Arial" w:cs="Arial"/>
          <w:b/>
          <w:sz w:val="20"/>
          <w:szCs w:val="20"/>
          <w:u w:val="single"/>
        </w:rPr>
        <w:t>Organizational Location</w:t>
      </w:r>
    </w:p>
    <w:p w14:paraId="7C7B9696" w14:textId="77777777" w:rsidR="00061842" w:rsidRDefault="00061842">
      <w:pPr>
        <w:rPr>
          <w:rFonts w:ascii="Arial" w:eastAsia="Arial" w:hAnsi="Arial" w:cs="Arial"/>
          <w:sz w:val="20"/>
          <w:szCs w:val="20"/>
        </w:rPr>
      </w:pPr>
    </w:p>
    <w:tbl>
      <w:tblPr>
        <w:tblStyle w:val="a0"/>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061842" w14:paraId="0C317792" w14:textId="77777777">
        <w:tc>
          <w:tcPr>
            <w:tcW w:w="8748" w:type="dxa"/>
            <w:shd w:val="clear" w:color="auto" w:fill="FFFFFF"/>
          </w:tcPr>
          <w:p w14:paraId="2C4D0030" w14:textId="77777777" w:rsidR="00061842" w:rsidRDefault="00E348E0">
            <w:pPr>
              <w:jc w:val="both"/>
              <w:rPr>
                <w:rFonts w:ascii="Arial" w:eastAsia="Arial" w:hAnsi="Arial" w:cs="Arial"/>
                <w:sz w:val="20"/>
                <w:szCs w:val="20"/>
              </w:rPr>
            </w:pPr>
            <w:r>
              <w:rPr>
                <w:rFonts w:ascii="Arial" w:eastAsia="Arial" w:hAnsi="Arial" w:cs="Arial"/>
                <w:sz w:val="20"/>
                <w:szCs w:val="20"/>
              </w:rPr>
              <w:t xml:space="preserve">Under the overall guidance of the UNFPA Representative, the Programme Specialist- Adolescents and Youth Development and Gender Mainstreaming is located in the South African Country Office (CO) and reports to the Assistant Representative.  </w:t>
            </w:r>
          </w:p>
          <w:p w14:paraId="210D097B" w14:textId="77777777" w:rsidR="00061842" w:rsidRDefault="00061842">
            <w:pPr>
              <w:spacing w:line="276" w:lineRule="auto"/>
              <w:jc w:val="both"/>
              <w:rPr>
                <w:rFonts w:ascii="Arial" w:eastAsia="Arial" w:hAnsi="Arial" w:cs="Arial"/>
                <w:sz w:val="20"/>
                <w:szCs w:val="20"/>
              </w:rPr>
            </w:pPr>
          </w:p>
        </w:tc>
      </w:tr>
    </w:tbl>
    <w:p w14:paraId="60C4E53E" w14:textId="77777777" w:rsidR="00061842" w:rsidRDefault="00061842">
      <w:pPr>
        <w:rPr>
          <w:rFonts w:ascii="Arial" w:eastAsia="Arial" w:hAnsi="Arial" w:cs="Arial"/>
          <w:sz w:val="20"/>
          <w:szCs w:val="20"/>
        </w:rPr>
      </w:pPr>
    </w:p>
    <w:p w14:paraId="7C9B671E" w14:textId="77777777" w:rsidR="00061842" w:rsidRDefault="00E348E0">
      <w:pPr>
        <w:rPr>
          <w:rFonts w:ascii="Arial" w:eastAsia="Arial" w:hAnsi="Arial" w:cs="Arial"/>
          <w:sz w:val="20"/>
          <w:szCs w:val="20"/>
          <w:u w:val="single"/>
        </w:rPr>
      </w:pPr>
      <w:r>
        <w:rPr>
          <w:rFonts w:ascii="Arial" w:eastAsia="Arial" w:hAnsi="Arial" w:cs="Arial"/>
          <w:b/>
          <w:sz w:val="20"/>
          <w:szCs w:val="20"/>
        </w:rPr>
        <w:t>2.</w:t>
      </w:r>
      <w:r>
        <w:rPr>
          <w:rFonts w:ascii="Arial" w:eastAsia="Arial" w:hAnsi="Arial" w:cs="Arial"/>
          <w:b/>
          <w:sz w:val="20"/>
          <w:szCs w:val="20"/>
        </w:rPr>
        <w:tab/>
      </w:r>
      <w:r>
        <w:rPr>
          <w:rFonts w:ascii="Arial" w:eastAsia="Arial" w:hAnsi="Arial" w:cs="Arial"/>
          <w:b/>
          <w:sz w:val="20"/>
          <w:szCs w:val="20"/>
          <w:u w:val="single"/>
        </w:rPr>
        <w:t>Job Purpose</w:t>
      </w:r>
    </w:p>
    <w:p w14:paraId="70CFE3CE" w14:textId="77777777" w:rsidR="00061842" w:rsidRDefault="00061842">
      <w:pPr>
        <w:rPr>
          <w:rFonts w:ascii="Arial" w:eastAsia="Arial" w:hAnsi="Arial" w:cs="Arial"/>
          <w:sz w:val="20"/>
          <w:szCs w:val="20"/>
        </w:rPr>
      </w:pPr>
    </w:p>
    <w:tbl>
      <w:tblPr>
        <w:tblStyle w:val="a1"/>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061842" w14:paraId="6536AE6A" w14:textId="77777777">
        <w:tc>
          <w:tcPr>
            <w:tcW w:w="8748" w:type="dxa"/>
          </w:tcPr>
          <w:p w14:paraId="7263440D" w14:textId="0CCCAE73" w:rsidR="00061842" w:rsidRDefault="00E348E0">
            <w:pPr>
              <w:spacing w:line="276" w:lineRule="auto"/>
              <w:jc w:val="both"/>
              <w:rPr>
                <w:rFonts w:ascii="Arial" w:eastAsia="Arial" w:hAnsi="Arial" w:cs="Arial"/>
                <w:sz w:val="20"/>
                <w:szCs w:val="20"/>
              </w:rPr>
            </w:pPr>
            <w:r>
              <w:rPr>
                <w:rFonts w:ascii="Arial" w:eastAsia="Arial" w:hAnsi="Arial" w:cs="Arial"/>
                <w:sz w:val="20"/>
                <w:szCs w:val="20"/>
              </w:rPr>
              <w:t xml:space="preserve">The Programme Specialist, Adolescents and Youth Development and Gender Mainstreaming, provides high level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and technical support for country programming on Adolescent and youth development and Gender mainstreaming.</w:t>
            </w:r>
            <w:r w:rsidR="004A384A">
              <w:rPr>
                <w:rFonts w:ascii="Arial" w:eastAsia="Arial" w:hAnsi="Arial" w:cs="Arial"/>
                <w:sz w:val="20"/>
                <w:szCs w:val="20"/>
              </w:rPr>
              <w:t xml:space="preserve"> </w:t>
            </w:r>
            <w:r>
              <w:rPr>
                <w:rFonts w:ascii="Arial" w:eastAsia="Arial" w:hAnsi="Arial" w:cs="Arial"/>
                <w:sz w:val="20"/>
                <w:szCs w:val="20"/>
              </w:rPr>
              <w:t xml:space="preserve">This includes ensuring effective management of UNFPA supported activities in the areas of Adolescents and Youth health and Gender Mainstreaming. S/he oversees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planning, implementation, monitoring and evaluation, joint programming initiatives in the support of government priorities, while working in an integrated and collaborative manner with the Country Office’s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and operations staff.</w:t>
            </w:r>
          </w:p>
        </w:tc>
      </w:tr>
    </w:tbl>
    <w:p w14:paraId="7DCE16E9" w14:textId="77777777" w:rsidR="00061842" w:rsidRDefault="00061842">
      <w:pPr>
        <w:rPr>
          <w:rFonts w:ascii="Arial" w:eastAsia="Arial" w:hAnsi="Arial" w:cs="Arial"/>
          <w:sz w:val="20"/>
          <w:szCs w:val="20"/>
        </w:rPr>
      </w:pPr>
    </w:p>
    <w:p w14:paraId="6651D2E4" w14:textId="77777777" w:rsidR="00061842" w:rsidRDefault="00E348E0">
      <w:pPr>
        <w:rPr>
          <w:rFonts w:ascii="Arial" w:eastAsia="Arial" w:hAnsi="Arial" w:cs="Arial"/>
          <w:sz w:val="20"/>
          <w:szCs w:val="20"/>
        </w:rPr>
      </w:pPr>
      <w:r>
        <w:rPr>
          <w:rFonts w:ascii="Arial" w:eastAsia="Arial" w:hAnsi="Arial" w:cs="Arial"/>
          <w:b/>
          <w:sz w:val="20"/>
          <w:szCs w:val="20"/>
        </w:rPr>
        <w:t>3.</w:t>
      </w:r>
      <w:r>
        <w:rPr>
          <w:rFonts w:ascii="Arial" w:eastAsia="Arial" w:hAnsi="Arial" w:cs="Arial"/>
          <w:b/>
          <w:sz w:val="20"/>
          <w:szCs w:val="20"/>
        </w:rPr>
        <w:tab/>
      </w:r>
      <w:r>
        <w:rPr>
          <w:rFonts w:ascii="Arial" w:eastAsia="Arial" w:hAnsi="Arial" w:cs="Arial"/>
          <w:b/>
          <w:sz w:val="20"/>
          <w:szCs w:val="20"/>
          <w:u w:val="single"/>
        </w:rPr>
        <w:t>Major Activities/Expected Results</w:t>
      </w:r>
    </w:p>
    <w:p w14:paraId="6C14648B" w14:textId="77777777" w:rsidR="00061842" w:rsidRDefault="00061842">
      <w:pPr>
        <w:rPr>
          <w:rFonts w:ascii="Arial" w:eastAsia="Arial" w:hAnsi="Arial" w:cs="Arial"/>
          <w:sz w:val="20"/>
          <w:szCs w:val="20"/>
        </w:rPr>
      </w:pPr>
    </w:p>
    <w:tbl>
      <w:tblPr>
        <w:tblStyle w:val="a2"/>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061842" w14:paraId="42D643AD" w14:textId="77777777">
        <w:tc>
          <w:tcPr>
            <w:tcW w:w="8748" w:type="dxa"/>
          </w:tcPr>
          <w:p w14:paraId="65622207" w14:textId="77777777" w:rsidR="00061842" w:rsidRDefault="00E3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0"/>
                <w:szCs w:val="20"/>
              </w:rPr>
            </w:pPr>
            <w:r>
              <w:rPr>
                <w:rFonts w:ascii="Arial" w:eastAsia="Arial" w:hAnsi="Arial" w:cs="Arial"/>
                <w:sz w:val="20"/>
                <w:szCs w:val="20"/>
              </w:rPr>
              <w:t>Under the overall guidance  of the Representative and direct supervision of the Assistant Representative, the incumbent performs the following:</w:t>
            </w:r>
          </w:p>
          <w:p w14:paraId="00C0585D" w14:textId="77777777" w:rsidR="00061842" w:rsidRDefault="00061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0"/>
                <w:szCs w:val="20"/>
              </w:rPr>
            </w:pPr>
          </w:p>
          <w:p w14:paraId="6E0A97E3" w14:textId="77777777" w:rsidR="00061842" w:rsidRDefault="00E348E0" w:rsidP="00D852CE">
            <w:pPr>
              <w:numPr>
                <w:ilvl w:val="0"/>
                <w:numId w:val="4"/>
              </w:numPr>
              <w:jc w:val="both"/>
              <w:rPr>
                <w:sz w:val="20"/>
                <w:szCs w:val="20"/>
              </w:rPr>
            </w:pPr>
            <w:r>
              <w:rPr>
                <w:rFonts w:ascii="Arial" w:eastAsia="Arial" w:hAnsi="Arial" w:cs="Arial"/>
                <w:sz w:val="20"/>
                <w:szCs w:val="20"/>
              </w:rPr>
              <w:t xml:space="preserve">In collaboration with Government counterparts, NGOs and other partners, the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specialist  provides substantive leadership and inputs into the design, implementation, monitoring and evaluation of adolescents and youth and Gender Mainstreaming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taking into account socio-economic cultural, and other structural  factors in line with government priorities and according to UNFPA policies and procedures; </w:t>
            </w:r>
          </w:p>
          <w:p w14:paraId="2771D0D6" w14:textId="77777777" w:rsidR="00061842" w:rsidRDefault="00061842">
            <w:pPr>
              <w:ind w:left="360"/>
              <w:jc w:val="both"/>
              <w:rPr>
                <w:rFonts w:ascii="Arial" w:eastAsia="Arial" w:hAnsi="Arial" w:cs="Arial"/>
                <w:sz w:val="20"/>
                <w:szCs w:val="20"/>
              </w:rPr>
            </w:pPr>
          </w:p>
          <w:p w14:paraId="54655A03" w14:textId="77777777" w:rsidR="00061842" w:rsidRDefault="00E348E0" w:rsidP="00D852CE">
            <w:pPr>
              <w:numPr>
                <w:ilvl w:val="0"/>
                <w:numId w:val="4"/>
              </w:numPr>
              <w:jc w:val="both"/>
              <w:rPr>
                <w:sz w:val="20"/>
                <w:szCs w:val="20"/>
              </w:rPr>
            </w:pPr>
            <w:r>
              <w:rPr>
                <w:rFonts w:ascii="Arial" w:eastAsia="Arial" w:hAnsi="Arial" w:cs="Arial"/>
                <w:sz w:val="20"/>
                <w:szCs w:val="20"/>
              </w:rPr>
              <w:t>Oversees achievement of adolescents and youth development and gender mainstreaming sub-</w:t>
            </w:r>
            <w:proofErr w:type="spellStart"/>
            <w:r>
              <w:rPr>
                <w:rFonts w:ascii="Arial" w:eastAsia="Arial" w:hAnsi="Arial" w:cs="Arial"/>
                <w:sz w:val="20"/>
                <w:szCs w:val="20"/>
              </w:rPr>
              <w:t>programme</w:t>
            </w:r>
            <w:proofErr w:type="spellEnd"/>
            <w:r>
              <w:rPr>
                <w:rFonts w:ascii="Arial" w:eastAsia="Arial" w:hAnsi="Arial" w:cs="Arial"/>
                <w:sz w:val="20"/>
                <w:szCs w:val="20"/>
              </w:rPr>
              <w:t xml:space="preserve"> results by ensuring appropriate policies and procedures are applied and appropriate monitoring and oversight mechanisms and systems are established and implemented. This includes but is not limited to:  development of work plans, initiating and  monitoring activity implementation (as appropriate), monitoring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budgets, disbursements and expenditures, and assuring  both narrative and </w:t>
            </w:r>
            <w:r>
              <w:rPr>
                <w:rFonts w:ascii="Arial" w:eastAsia="Arial" w:hAnsi="Arial" w:cs="Arial"/>
                <w:sz w:val="20"/>
                <w:szCs w:val="20"/>
              </w:rPr>
              <w:lastRenderedPageBreak/>
              <w:t>financial reporting by both Implementing Partners and UNFPA country office;</w:t>
            </w:r>
          </w:p>
          <w:p w14:paraId="4F3B0EBD" w14:textId="77777777" w:rsidR="00061842" w:rsidRDefault="00061842">
            <w:pPr>
              <w:tabs>
                <w:tab w:val="left" w:pos="792"/>
              </w:tabs>
              <w:spacing w:line="276" w:lineRule="auto"/>
              <w:ind w:left="720"/>
              <w:jc w:val="both"/>
              <w:rPr>
                <w:rFonts w:ascii="Arial" w:eastAsia="Arial" w:hAnsi="Arial" w:cs="Arial"/>
                <w:sz w:val="20"/>
                <w:szCs w:val="20"/>
              </w:rPr>
            </w:pPr>
          </w:p>
          <w:p w14:paraId="27B146D9" w14:textId="77777777" w:rsidR="00061842" w:rsidRDefault="00E348E0" w:rsidP="00D852CE">
            <w:pPr>
              <w:numPr>
                <w:ilvl w:val="0"/>
                <w:numId w:val="4"/>
              </w:numPr>
              <w:tabs>
                <w:tab w:val="left" w:pos="0"/>
                <w:tab w:val="left" w:pos="1440"/>
              </w:tabs>
              <w:spacing w:line="276" w:lineRule="auto"/>
              <w:jc w:val="both"/>
              <w:rPr>
                <w:sz w:val="20"/>
                <w:szCs w:val="20"/>
              </w:rPr>
            </w:pPr>
            <w:r>
              <w:rPr>
                <w:rFonts w:ascii="Arial" w:eastAsia="Arial" w:hAnsi="Arial" w:cs="Arial"/>
                <w:sz w:val="20"/>
                <w:szCs w:val="20"/>
              </w:rPr>
              <w:t>Guides the development and implementation of national policies and strategies for adolescents and youth health and gender mainstreaming  (especially Prevention of HIV prevention, other STIs, Teenage pregnancy and Gender- Based Violence) through support to national  departments and technical working groups  in the relevant  technical areas;</w:t>
            </w:r>
          </w:p>
          <w:p w14:paraId="56F7B2AB" w14:textId="77777777" w:rsidR="00061842" w:rsidRDefault="00061842">
            <w:pPr>
              <w:ind w:left="720"/>
              <w:rPr>
                <w:rFonts w:ascii="Arial" w:eastAsia="Arial" w:hAnsi="Arial" w:cs="Arial"/>
                <w:sz w:val="20"/>
                <w:szCs w:val="20"/>
              </w:rPr>
            </w:pPr>
          </w:p>
          <w:p w14:paraId="778E4107" w14:textId="77777777" w:rsidR="00061842" w:rsidRDefault="00E348E0" w:rsidP="00D852CE">
            <w:pPr>
              <w:numPr>
                <w:ilvl w:val="0"/>
                <w:numId w:val="4"/>
              </w:numPr>
              <w:jc w:val="both"/>
              <w:rPr>
                <w:sz w:val="20"/>
                <w:szCs w:val="20"/>
              </w:rPr>
            </w:pPr>
            <w:r>
              <w:rPr>
                <w:rFonts w:ascii="Arial" w:eastAsia="Arial" w:hAnsi="Arial" w:cs="Arial"/>
                <w:sz w:val="20"/>
                <w:szCs w:val="20"/>
              </w:rPr>
              <w:t>Reviews the political, social and economic environment relevant to adolescents and youth health &amp;  development and gender-based violence prevention   and pursues opportunities for UNFPA assistance and intervention;</w:t>
            </w:r>
          </w:p>
          <w:p w14:paraId="2761B3DD" w14:textId="77777777" w:rsidR="00061842" w:rsidRDefault="00061842">
            <w:pPr>
              <w:ind w:left="720"/>
              <w:jc w:val="both"/>
              <w:rPr>
                <w:rFonts w:ascii="Arial" w:eastAsia="Arial" w:hAnsi="Arial" w:cs="Arial"/>
                <w:sz w:val="20"/>
                <w:szCs w:val="20"/>
              </w:rPr>
            </w:pPr>
          </w:p>
          <w:p w14:paraId="6A3DE4BF" w14:textId="77777777" w:rsidR="00061842" w:rsidRDefault="00E348E0" w:rsidP="00D852CE">
            <w:pPr>
              <w:numPr>
                <w:ilvl w:val="0"/>
                <w:numId w:val="4"/>
              </w:numPr>
              <w:jc w:val="both"/>
              <w:rPr>
                <w:sz w:val="20"/>
                <w:szCs w:val="20"/>
              </w:rPr>
            </w:pPr>
            <w:r>
              <w:rPr>
                <w:rFonts w:ascii="Arial" w:eastAsia="Arial" w:hAnsi="Arial" w:cs="Arial"/>
                <w:sz w:val="20"/>
                <w:szCs w:val="20"/>
              </w:rPr>
              <w:t xml:space="preserve">Assesses implication of new policy developments and strategies on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execution and ensures appropriate implementation;</w:t>
            </w:r>
          </w:p>
          <w:p w14:paraId="637D6DD1" w14:textId="77777777" w:rsidR="00061842" w:rsidRDefault="00061842">
            <w:pPr>
              <w:tabs>
                <w:tab w:val="left" w:pos="0"/>
                <w:tab w:val="left" w:pos="1440"/>
              </w:tabs>
              <w:spacing w:line="276" w:lineRule="auto"/>
              <w:jc w:val="both"/>
              <w:rPr>
                <w:rFonts w:ascii="Arial" w:eastAsia="Arial" w:hAnsi="Arial" w:cs="Arial"/>
                <w:sz w:val="20"/>
                <w:szCs w:val="20"/>
              </w:rPr>
            </w:pPr>
          </w:p>
          <w:p w14:paraId="5DEAE37C" w14:textId="77777777" w:rsidR="00061842" w:rsidRDefault="00E348E0" w:rsidP="00D852CE">
            <w:pPr>
              <w:numPr>
                <w:ilvl w:val="0"/>
                <w:numId w:val="4"/>
              </w:numPr>
              <w:tabs>
                <w:tab w:val="left" w:pos="0"/>
                <w:tab w:val="left" w:pos="1440"/>
              </w:tabs>
              <w:spacing w:line="276" w:lineRule="auto"/>
              <w:jc w:val="both"/>
              <w:rPr>
                <w:sz w:val="20"/>
                <w:szCs w:val="20"/>
              </w:rPr>
            </w:pPr>
            <w:r>
              <w:rPr>
                <w:rFonts w:ascii="Arial" w:eastAsia="Arial" w:hAnsi="Arial" w:cs="Arial"/>
                <w:sz w:val="20"/>
                <w:szCs w:val="20"/>
              </w:rPr>
              <w:t xml:space="preserve">Identifies initiates and coordinates gender collaborative partnerships on Adolescents and Youth Development and Gender Mainstreaming with potential implementing partners, experts, government counterparts other UN agencies and CSOs; </w:t>
            </w:r>
          </w:p>
          <w:p w14:paraId="1725EFDB" w14:textId="77777777" w:rsidR="00061842" w:rsidRDefault="00061842">
            <w:pPr>
              <w:tabs>
                <w:tab w:val="left" w:pos="0"/>
                <w:tab w:val="left" w:pos="1440"/>
              </w:tabs>
              <w:spacing w:line="276" w:lineRule="auto"/>
              <w:jc w:val="both"/>
              <w:rPr>
                <w:rFonts w:ascii="Arial" w:eastAsia="Arial" w:hAnsi="Arial" w:cs="Arial"/>
                <w:sz w:val="20"/>
                <w:szCs w:val="20"/>
              </w:rPr>
            </w:pPr>
          </w:p>
          <w:p w14:paraId="256F55F0" w14:textId="77777777" w:rsidR="00061842" w:rsidRDefault="00E348E0" w:rsidP="00D852C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r>
              <w:rPr>
                <w:rFonts w:ascii="Arial" w:eastAsia="Arial" w:hAnsi="Arial" w:cs="Arial"/>
                <w:sz w:val="20"/>
                <w:szCs w:val="20"/>
              </w:rPr>
              <w:t xml:space="preserve">Provides substantive input into advocacy strategies taking into account local political and social context. Advocates and advances UNFPA’s policy agenda by participating in strategic advocacy platforms and public information events in support of  the country office’s advocacy and policy efforts on scaling up evidence-based models  in support of Adolescents and Youth Development and Gender Mainstreaming;  </w:t>
            </w:r>
          </w:p>
          <w:p w14:paraId="3B40A690" w14:textId="77777777" w:rsidR="00061842" w:rsidRDefault="00061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Arial" w:eastAsia="Arial" w:hAnsi="Arial" w:cs="Arial"/>
                <w:sz w:val="20"/>
                <w:szCs w:val="20"/>
              </w:rPr>
            </w:pPr>
          </w:p>
          <w:p w14:paraId="3A42BC01" w14:textId="77777777" w:rsidR="00061842" w:rsidRDefault="00E348E0" w:rsidP="00D852CE">
            <w:pPr>
              <w:numPr>
                <w:ilvl w:val="0"/>
                <w:numId w:val="4"/>
              </w:numPr>
              <w:rPr>
                <w:sz w:val="20"/>
                <w:szCs w:val="20"/>
              </w:rPr>
            </w:pPr>
            <w:r>
              <w:rPr>
                <w:rFonts w:ascii="Arial" w:eastAsia="Arial" w:hAnsi="Arial" w:cs="Arial"/>
                <w:sz w:val="20"/>
                <w:szCs w:val="20"/>
              </w:rPr>
              <w:t>Provides programmatic and technical assistance to the adolescents and youth development and gender mainstreaming  through support to implementing partners, consultants, and UNFPA Country Office teams;</w:t>
            </w:r>
          </w:p>
          <w:p w14:paraId="2D33361A" w14:textId="77777777" w:rsidR="00061842" w:rsidRDefault="00061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sz w:val="20"/>
                <w:szCs w:val="20"/>
              </w:rPr>
            </w:pPr>
          </w:p>
          <w:p w14:paraId="20AF3EB7" w14:textId="77777777" w:rsidR="00061842" w:rsidRDefault="00E348E0" w:rsidP="00D852CE">
            <w:pPr>
              <w:numPr>
                <w:ilvl w:val="0"/>
                <w:numId w:val="4"/>
              </w:numPr>
              <w:tabs>
                <w:tab w:val="left" w:pos="0"/>
                <w:tab w:val="left" w:pos="1440"/>
              </w:tabs>
              <w:spacing w:line="276" w:lineRule="auto"/>
              <w:jc w:val="both"/>
              <w:rPr>
                <w:sz w:val="20"/>
                <w:szCs w:val="20"/>
              </w:rPr>
            </w:pPr>
            <w:r>
              <w:rPr>
                <w:rFonts w:ascii="Arial" w:eastAsia="Arial" w:hAnsi="Arial" w:cs="Arial"/>
                <w:sz w:val="20"/>
                <w:szCs w:val="20"/>
              </w:rPr>
              <w:t xml:space="preserve">Supports the collection and sharing (including through operational research) of lessons learnt and best practices that enhance the effectiveness of Adolescent and youth development and Gender mainstreaming interventions.  Disseminates them to stakeholders, and advocates, </w:t>
            </w:r>
            <w:r w:rsidR="000D2329">
              <w:rPr>
                <w:rFonts w:ascii="Arial" w:eastAsia="Arial" w:hAnsi="Arial" w:cs="Arial"/>
                <w:sz w:val="20"/>
                <w:szCs w:val="20"/>
              </w:rPr>
              <w:t>mobilizes</w:t>
            </w:r>
            <w:r>
              <w:rPr>
                <w:rFonts w:ascii="Arial" w:eastAsia="Arial" w:hAnsi="Arial" w:cs="Arial"/>
                <w:sz w:val="20"/>
                <w:szCs w:val="20"/>
              </w:rPr>
              <w:t xml:space="preserve"> and convenes partners for large-scale up of response to challenges facing adolescents and youth, with a gender lens;</w:t>
            </w:r>
          </w:p>
          <w:p w14:paraId="7E05BFF4" w14:textId="77777777" w:rsidR="00061842" w:rsidRDefault="00061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Arial" w:eastAsia="Arial" w:hAnsi="Arial" w:cs="Arial"/>
                <w:sz w:val="20"/>
                <w:szCs w:val="20"/>
              </w:rPr>
            </w:pPr>
          </w:p>
          <w:p w14:paraId="3DA1ECCD" w14:textId="77777777" w:rsidR="00061842" w:rsidRDefault="00E348E0" w:rsidP="00D852C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r>
              <w:rPr>
                <w:rFonts w:ascii="Arial" w:eastAsia="Arial" w:hAnsi="Arial" w:cs="Arial"/>
                <w:sz w:val="20"/>
                <w:szCs w:val="20"/>
              </w:rPr>
              <w:t xml:space="preserve">Continuously analyzes population dynamics  as well as Sexual and  Reproductive Health data with specific emphasis on Adolescent and youth development and Gender mainstreaming and uses  data  to influence national policy, provincial and district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and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supported by UNFPA and other partners; </w:t>
            </w:r>
          </w:p>
          <w:p w14:paraId="08064360" w14:textId="77777777" w:rsidR="00061842" w:rsidRDefault="00061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Arial" w:eastAsia="Arial" w:hAnsi="Arial" w:cs="Arial"/>
                <w:sz w:val="20"/>
                <w:szCs w:val="20"/>
              </w:rPr>
            </w:pPr>
          </w:p>
          <w:p w14:paraId="7353779D" w14:textId="77777777" w:rsidR="00061842" w:rsidRDefault="00E348E0" w:rsidP="00D852CE">
            <w:pPr>
              <w:numPr>
                <w:ilvl w:val="0"/>
                <w:numId w:val="4"/>
              </w:numPr>
              <w:spacing w:line="276" w:lineRule="auto"/>
              <w:jc w:val="both"/>
              <w:rPr>
                <w:sz w:val="20"/>
                <w:szCs w:val="20"/>
              </w:rPr>
            </w:pPr>
            <w:r>
              <w:rPr>
                <w:rFonts w:ascii="Arial" w:eastAsia="Arial" w:hAnsi="Arial" w:cs="Arial"/>
                <w:sz w:val="20"/>
                <w:szCs w:val="20"/>
              </w:rPr>
              <w:t xml:space="preserve">Represents UNFPA in the inter-agency forums, including the UN Gender Theme Group for overall coordination and facilitation of joint UN work on Gender mainstreaming ; </w:t>
            </w:r>
          </w:p>
          <w:p w14:paraId="6420B5A6" w14:textId="77777777" w:rsidR="00061842" w:rsidRDefault="00061842">
            <w:pPr>
              <w:spacing w:line="276" w:lineRule="auto"/>
              <w:ind w:left="720"/>
              <w:jc w:val="both"/>
              <w:rPr>
                <w:rFonts w:ascii="Arial" w:eastAsia="Arial" w:hAnsi="Arial" w:cs="Arial"/>
                <w:sz w:val="20"/>
                <w:szCs w:val="20"/>
              </w:rPr>
            </w:pPr>
          </w:p>
          <w:p w14:paraId="55E585A2" w14:textId="77777777" w:rsidR="00061842" w:rsidRDefault="00E348E0" w:rsidP="00D852CE">
            <w:pPr>
              <w:numPr>
                <w:ilvl w:val="0"/>
                <w:numId w:val="4"/>
              </w:numPr>
              <w:spacing w:line="276" w:lineRule="auto"/>
              <w:jc w:val="both"/>
              <w:rPr>
                <w:sz w:val="20"/>
                <w:szCs w:val="20"/>
              </w:rPr>
            </w:pPr>
            <w:r>
              <w:rPr>
                <w:rFonts w:ascii="Arial" w:eastAsia="Arial" w:hAnsi="Arial" w:cs="Arial"/>
                <w:sz w:val="20"/>
                <w:szCs w:val="20"/>
              </w:rPr>
              <w:t>Support UNFPA Representative to dialogue and lobby with major funding organizations and development partners to leverage funding for adolescents and youth and gender mainstreaming programming.  Actively participates in resource mobilization efforts of the Country Office by ensuring identification of potential funding sources, donor profiling, preparation of funding concept notes, proposals, donor reports and participating in related donor/potential donor meetings;</w:t>
            </w:r>
          </w:p>
          <w:p w14:paraId="61447A02" w14:textId="77777777" w:rsidR="00061842" w:rsidRDefault="00061842">
            <w:pPr>
              <w:jc w:val="both"/>
              <w:rPr>
                <w:rFonts w:ascii="Arial" w:eastAsia="Arial" w:hAnsi="Arial" w:cs="Arial"/>
                <w:sz w:val="20"/>
                <w:szCs w:val="20"/>
              </w:rPr>
            </w:pPr>
          </w:p>
          <w:p w14:paraId="1B09769F" w14:textId="77777777" w:rsidR="00061842" w:rsidRDefault="00E348E0" w:rsidP="00D852CE">
            <w:pPr>
              <w:numPr>
                <w:ilvl w:val="0"/>
                <w:numId w:val="4"/>
              </w:numPr>
              <w:jc w:val="both"/>
              <w:rPr>
                <w:sz w:val="20"/>
                <w:szCs w:val="20"/>
              </w:rPr>
            </w:pPr>
            <w:r>
              <w:rPr>
                <w:rFonts w:ascii="Arial" w:eastAsia="Arial" w:hAnsi="Arial" w:cs="Arial"/>
                <w:sz w:val="20"/>
                <w:szCs w:val="20"/>
              </w:rPr>
              <w:lastRenderedPageBreak/>
              <w:t xml:space="preserve">In liaison with the communications, advocacy and partnerships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analyst, and other relevant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staff, prepares relevant thematic background documentation, i.e.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summaries, briefing notes, talking points, speeches and other communication materials as necessary; and </w:t>
            </w:r>
          </w:p>
          <w:p w14:paraId="551867B6" w14:textId="77777777" w:rsidR="00061842" w:rsidRDefault="00061842">
            <w:pPr>
              <w:ind w:left="720"/>
              <w:rPr>
                <w:rFonts w:ascii="Arial" w:eastAsia="Arial" w:hAnsi="Arial" w:cs="Arial"/>
                <w:sz w:val="20"/>
                <w:szCs w:val="20"/>
              </w:rPr>
            </w:pPr>
          </w:p>
          <w:p w14:paraId="244F8291" w14:textId="77777777" w:rsidR="00061842" w:rsidRDefault="00061842">
            <w:pPr>
              <w:ind w:left="720"/>
              <w:jc w:val="both"/>
              <w:rPr>
                <w:rFonts w:ascii="Arial" w:eastAsia="Arial" w:hAnsi="Arial" w:cs="Arial"/>
                <w:sz w:val="20"/>
                <w:szCs w:val="20"/>
              </w:rPr>
            </w:pPr>
          </w:p>
          <w:p w14:paraId="1950B92A" w14:textId="77777777" w:rsidR="00061842" w:rsidRDefault="00E348E0" w:rsidP="00D852CE">
            <w:pPr>
              <w:numPr>
                <w:ilvl w:val="0"/>
                <w:numId w:val="4"/>
              </w:numPr>
              <w:rPr>
                <w:sz w:val="20"/>
                <w:szCs w:val="20"/>
              </w:rPr>
            </w:pPr>
            <w:r>
              <w:rPr>
                <w:rFonts w:ascii="Arial" w:eastAsia="Arial" w:hAnsi="Arial" w:cs="Arial"/>
                <w:sz w:val="20"/>
                <w:szCs w:val="20"/>
              </w:rPr>
              <w:t xml:space="preserve">Performs any other duties as directed by the Representative/ and other management team </w:t>
            </w:r>
            <w:r w:rsidR="000D2329">
              <w:rPr>
                <w:rFonts w:ascii="Arial" w:eastAsia="Arial" w:hAnsi="Arial" w:cs="Arial"/>
                <w:sz w:val="20"/>
                <w:szCs w:val="20"/>
              </w:rPr>
              <w:t>members to</w:t>
            </w:r>
            <w:r>
              <w:rPr>
                <w:rFonts w:ascii="Arial" w:eastAsia="Arial" w:hAnsi="Arial" w:cs="Arial"/>
                <w:sz w:val="20"/>
                <w:szCs w:val="20"/>
              </w:rPr>
              <w:t xml:space="preserve"> ensure the success of the country </w:t>
            </w:r>
            <w:proofErr w:type="spellStart"/>
            <w:r>
              <w:rPr>
                <w:rFonts w:ascii="Arial" w:eastAsia="Arial" w:hAnsi="Arial" w:cs="Arial"/>
                <w:sz w:val="20"/>
                <w:szCs w:val="20"/>
              </w:rPr>
              <w:t>programme</w:t>
            </w:r>
            <w:proofErr w:type="spellEnd"/>
            <w:r>
              <w:rPr>
                <w:rFonts w:ascii="Arial" w:eastAsia="Arial" w:hAnsi="Arial" w:cs="Arial"/>
                <w:sz w:val="20"/>
                <w:szCs w:val="20"/>
              </w:rPr>
              <w:t>.</w:t>
            </w:r>
          </w:p>
          <w:p w14:paraId="48DC347C" w14:textId="77777777" w:rsidR="00061842" w:rsidRDefault="00061842">
            <w:pPr>
              <w:spacing w:line="276" w:lineRule="auto"/>
              <w:ind w:left="720"/>
              <w:jc w:val="both"/>
              <w:rPr>
                <w:rFonts w:ascii="Arial" w:eastAsia="Arial" w:hAnsi="Arial" w:cs="Arial"/>
                <w:sz w:val="20"/>
                <w:szCs w:val="20"/>
              </w:rPr>
            </w:pPr>
          </w:p>
        </w:tc>
      </w:tr>
    </w:tbl>
    <w:p w14:paraId="30EF1A64" w14:textId="77777777" w:rsidR="00061842" w:rsidRDefault="00061842">
      <w:pPr>
        <w:rPr>
          <w:rFonts w:ascii="Arial" w:eastAsia="Arial" w:hAnsi="Arial" w:cs="Arial"/>
          <w:sz w:val="20"/>
          <w:szCs w:val="20"/>
        </w:rPr>
      </w:pPr>
    </w:p>
    <w:p w14:paraId="5FD4404C" w14:textId="77777777" w:rsidR="00061842" w:rsidRDefault="00E348E0">
      <w:pPr>
        <w:rPr>
          <w:rFonts w:ascii="Arial" w:eastAsia="Arial" w:hAnsi="Arial" w:cs="Arial"/>
          <w:sz w:val="20"/>
          <w:szCs w:val="20"/>
        </w:rPr>
      </w:pPr>
      <w:r>
        <w:rPr>
          <w:rFonts w:ascii="Arial" w:eastAsia="Arial" w:hAnsi="Arial" w:cs="Arial"/>
          <w:b/>
          <w:sz w:val="20"/>
          <w:szCs w:val="20"/>
        </w:rPr>
        <w:t>4.</w:t>
      </w:r>
      <w:r>
        <w:rPr>
          <w:rFonts w:ascii="Arial" w:eastAsia="Arial" w:hAnsi="Arial" w:cs="Arial"/>
          <w:b/>
          <w:sz w:val="20"/>
          <w:szCs w:val="20"/>
        </w:rPr>
        <w:tab/>
      </w:r>
      <w:r>
        <w:rPr>
          <w:rFonts w:ascii="Arial" w:eastAsia="Arial" w:hAnsi="Arial" w:cs="Arial"/>
          <w:b/>
          <w:sz w:val="20"/>
          <w:szCs w:val="20"/>
          <w:u w:val="single"/>
        </w:rPr>
        <w:t>Work Relations</w:t>
      </w:r>
    </w:p>
    <w:p w14:paraId="6CB398DF" w14:textId="77777777" w:rsidR="00061842" w:rsidRDefault="00061842">
      <w:pPr>
        <w:rPr>
          <w:rFonts w:ascii="Arial" w:eastAsia="Arial" w:hAnsi="Arial" w:cs="Arial"/>
          <w:sz w:val="20"/>
          <w:szCs w:val="20"/>
        </w:rPr>
      </w:pPr>
    </w:p>
    <w:tbl>
      <w:tblPr>
        <w:tblStyle w:val="a3"/>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061842" w14:paraId="1D492EB3" w14:textId="77777777">
        <w:tc>
          <w:tcPr>
            <w:tcW w:w="8748" w:type="dxa"/>
          </w:tcPr>
          <w:p w14:paraId="40FC871E" w14:textId="77777777" w:rsidR="00061842" w:rsidRDefault="00061842">
            <w:pPr>
              <w:spacing w:line="276" w:lineRule="auto"/>
              <w:jc w:val="both"/>
              <w:rPr>
                <w:rFonts w:ascii="Arial" w:eastAsia="Arial" w:hAnsi="Arial" w:cs="Arial"/>
                <w:sz w:val="20"/>
                <w:szCs w:val="20"/>
              </w:rPr>
            </w:pPr>
          </w:p>
          <w:p w14:paraId="32D85727" w14:textId="77777777" w:rsidR="00061842" w:rsidRDefault="00E348E0">
            <w:pPr>
              <w:jc w:val="both"/>
              <w:rPr>
                <w:rFonts w:ascii="Arial" w:eastAsia="Arial" w:hAnsi="Arial" w:cs="Arial"/>
                <w:sz w:val="20"/>
                <w:szCs w:val="20"/>
              </w:rPr>
            </w:pPr>
            <w:r>
              <w:rPr>
                <w:rFonts w:ascii="Arial" w:eastAsia="Arial" w:hAnsi="Arial" w:cs="Arial"/>
                <w:sz w:val="20"/>
                <w:szCs w:val="20"/>
              </w:rPr>
              <w:t xml:space="preserve">The Programme Specialist - Adolescents and Youth Development and Gender Mainstreaming oversees the work of the relevant consultants and experts and establishes and maintains collaborative relationships with counterparts in government, multi-lateral and bilateral donor agencies, private sector and civil society to address emerging issues. S/he must effectively influence counterparts from diverse backgrounds to contribute to achieving UNFPA’s mandate in Sexual and Reproductive Health (including adolescents and youth health and development and gender mainstreaming). </w:t>
            </w:r>
          </w:p>
          <w:p w14:paraId="3094310F" w14:textId="77777777" w:rsidR="00061842" w:rsidRDefault="00061842">
            <w:pPr>
              <w:jc w:val="both"/>
              <w:rPr>
                <w:rFonts w:ascii="Arial" w:eastAsia="Arial" w:hAnsi="Arial" w:cs="Arial"/>
                <w:sz w:val="20"/>
                <w:szCs w:val="20"/>
              </w:rPr>
            </w:pPr>
          </w:p>
          <w:p w14:paraId="402AE7A3" w14:textId="77777777" w:rsidR="00061842" w:rsidRDefault="00E348E0">
            <w:pPr>
              <w:jc w:val="both"/>
              <w:rPr>
                <w:rFonts w:ascii="Arial" w:eastAsia="Arial" w:hAnsi="Arial" w:cs="Arial"/>
                <w:sz w:val="20"/>
                <w:szCs w:val="20"/>
              </w:rPr>
            </w:pPr>
            <w:r>
              <w:rPr>
                <w:rFonts w:ascii="Arial" w:eastAsia="Arial" w:hAnsi="Arial" w:cs="Arial"/>
                <w:sz w:val="20"/>
                <w:szCs w:val="20"/>
              </w:rPr>
              <w:t>The position holder is located within Sexual and Reproductive Health team, and works closely work with the other Country Office staff. Other internal contacts include relevant staff at the Regional Office, Technical Division, Programme and counterparts in other country offices.</w:t>
            </w:r>
          </w:p>
          <w:p w14:paraId="4905343A" w14:textId="77777777" w:rsidR="00061842" w:rsidRDefault="00E348E0">
            <w:pPr>
              <w:spacing w:line="276" w:lineRule="auto"/>
              <w:jc w:val="both"/>
              <w:rPr>
                <w:rFonts w:ascii="Arial" w:eastAsia="Arial" w:hAnsi="Arial" w:cs="Arial"/>
                <w:sz w:val="20"/>
                <w:szCs w:val="20"/>
              </w:rPr>
            </w:pPr>
            <w:r>
              <w:rPr>
                <w:rFonts w:ascii="Arial" w:eastAsia="Arial" w:hAnsi="Arial" w:cs="Arial"/>
                <w:sz w:val="20"/>
                <w:szCs w:val="20"/>
              </w:rPr>
              <w:t xml:space="preserve">External contacts include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Implementing Partners, UN agencies in country, and counterparts and partners in country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activities, including national and international NGOs, independent experts etc.</w:t>
            </w:r>
          </w:p>
          <w:p w14:paraId="67B17101" w14:textId="77777777" w:rsidR="00061842" w:rsidRDefault="00061842">
            <w:pPr>
              <w:spacing w:line="276" w:lineRule="auto"/>
              <w:jc w:val="both"/>
              <w:rPr>
                <w:rFonts w:ascii="Arial" w:eastAsia="Arial" w:hAnsi="Arial" w:cs="Arial"/>
                <w:sz w:val="20"/>
                <w:szCs w:val="20"/>
              </w:rPr>
            </w:pPr>
          </w:p>
        </w:tc>
      </w:tr>
    </w:tbl>
    <w:p w14:paraId="1B913BC2" w14:textId="77777777" w:rsidR="00061842" w:rsidRDefault="00061842">
      <w:pPr>
        <w:rPr>
          <w:rFonts w:ascii="Arial" w:eastAsia="Arial" w:hAnsi="Arial" w:cs="Arial"/>
          <w:sz w:val="20"/>
          <w:szCs w:val="20"/>
        </w:rPr>
      </w:pPr>
    </w:p>
    <w:p w14:paraId="2DAE33D4" w14:textId="77777777" w:rsidR="00061842" w:rsidRDefault="00E348E0">
      <w:pPr>
        <w:rPr>
          <w:rFonts w:ascii="Arial" w:eastAsia="Arial" w:hAnsi="Arial" w:cs="Arial"/>
          <w:sz w:val="20"/>
          <w:szCs w:val="20"/>
        </w:rPr>
      </w:pPr>
      <w:r>
        <w:rPr>
          <w:rFonts w:ascii="Arial" w:eastAsia="Arial" w:hAnsi="Arial" w:cs="Arial"/>
          <w:b/>
          <w:sz w:val="20"/>
          <w:szCs w:val="20"/>
        </w:rPr>
        <w:t>5.</w:t>
      </w:r>
      <w:r>
        <w:rPr>
          <w:rFonts w:ascii="Arial" w:eastAsia="Arial" w:hAnsi="Arial" w:cs="Arial"/>
          <w:b/>
          <w:sz w:val="20"/>
          <w:szCs w:val="20"/>
        </w:rPr>
        <w:tab/>
      </w:r>
      <w:r>
        <w:rPr>
          <w:rFonts w:ascii="Arial" w:eastAsia="Arial" w:hAnsi="Arial" w:cs="Arial"/>
          <w:b/>
          <w:sz w:val="20"/>
          <w:szCs w:val="20"/>
          <w:u w:val="single"/>
        </w:rPr>
        <w:t>Job Requirements</w:t>
      </w:r>
    </w:p>
    <w:p w14:paraId="0F072841" w14:textId="77777777" w:rsidR="00061842" w:rsidRDefault="00061842">
      <w:pPr>
        <w:rPr>
          <w:rFonts w:ascii="Arial" w:eastAsia="Arial" w:hAnsi="Arial" w:cs="Arial"/>
          <w:sz w:val="20"/>
          <w:szCs w:val="20"/>
        </w:rPr>
      </w:pPr>
    </w:p>
    <w:p w14:paraId="20A01018" w14:textId="77777777" w:rsidR="00061842" w:rsidRDefault="00061842">
      <w:pPr>
        <w:rPr>
          <w:rFonts w:ascii="Arial" w:eastAsia="Arial" w:hAnsi="Arial" w:cs="Arial"/>
          <w:sz w:val="20"/>
          <w:szCs w:val="20"/>
        </w:rPr>
      </w:pPr>
    </w:p>
    <w:tbl>
      <w:tblPr>
        <w:tblStyle w:val="a4"/>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4"/>
      </w:tblGrid>
      <w:tr w:rsidR="00061842" w14:paraId="5CDE0A34" w14:textId="77777777">
        <w:tc>
          <w:tcPr>
            <w:tcW w:w="9394" w:type="dxa"/>
          </w:tcPr>
          <w:p w14:paraId="37963153" w14:textId="77777777" w:rsidR="00061842" w:rsidRDefault="00E348E0">
            <w:pPr>
              <w:jc w:val="both"/>
              <w:rPr>
                <w:rFonts w:ascii="Arial" w:eastAsia="Arial" w:hAnsi="Arial" w:cs="Arial"/>
                <w:sz w:val="20"/>
                <w:szCs w:val="20"/>
              </w:rPr>
            </w:pPr>
            <w:r>
              <w:rPr>
                <w:rFonts w:ascii="Arial" w:eastAsia="Arial" w:hAnsi="Arial" w:cs="Arial"/>
                <w:b/>
                <w:sz w:val="20"/>
                <w:szCs w:val="20"/>
              </w:rPr>
              <w:t xml:space="preserve">Education:  </w:t>
            </w:r>
          </w:p>
          <w:p w14:paraId="17EF175E" w14:textId="77777777" w:rsidR="00061842" w:rsidRDefault="00E348E0">
            <w:pPr>
              <w:rPr>
                <w:rFonts w:ascii="Arial" w:eastAsia="Arial" w:hAnsi="Arial" w:cs="Arial"/>
                <w:sz w:val="20"/>
                <w:szCs w:val="20"/>
              </w:rPr>
            </w:pPr>
            <w:r>
              <w:rPr>
                <w:rFonts w:ascii="Arial" w:eastAsia="Arial" w:hAnsi="Arial" w:cs="Arial"/>
                <w:sz w:val="20"/>
                <w:szCs w:val="20"/>
              </w:rPr>
              <w:t xml:space="preserve">Master’s degree in Public health, Medicine, or social sciences such as  Gender and  Development Studies </w:t>
            </w:r>
          </w:p>
          <w:p w14:paraId="4A603F4C" w14:textId="77777777" w:rsidR="00061842" w:rsidRDefault="00061842">
            <w:pPr>
              <w:jc w:val="both"/>
              <w:rPr>
                <w:rFonts w:ascii="Arial" w:eastAsia="Arial" w:hAnsi="Arial" w:cs="Arial"/>
                <w:sz w:val="20"/>
                <w:szCs w:val="20"/>
              </w:rPr>
            </w:pPr>
          </w:p>
          <w:p w14:paraId="696931C1" w14:textId="77777777" w:rsidR="00061842" w:rsidRDefault="00E348E0">
            <w:pPr>
              <w:jc w:val="both"/>
              <w:rPr>
                <w:rFonts w:ascii="Arial" w:eastAsia="Arial" w:hAnsi="Arial" w:cs="Arial"/>
                <w:sz w:val="20"/>
                <w:szCs w:val="20"/>
              </w:rPr>
            </w:pPr>
            <w:r>
              <w:rPr>
                <w:rFonts w:ascii="Arial" w:eastAsia="Arial" w:hAnsi="Arial" w:cs="Arial"/>
                <w:b/>
                <w:sz w:val="20"/>
                <w:szCs w:val="20"/>
              </w:rPr>
              <w:t xml:space="preserve">Knowledge and Experience: </w:t>
            </w:r>
          </w:p>
          <w:p w14:paraId="03A6AF94" w14:textId="77777777" w:rsidR="00061842" w:rsidRDefault="00061842">
            <w:pPr>
              <w:jc w:val="both"/>
              <w:rPr>
                <w:rFonts w:ascii="Arial" w:eastAsia="Arial" w:hAnsi="Arial" w:cs="Arial"/>
                <w:sz w:val="20"/>
                <w:szCs w:val="20"/>
              </w:rPr>
            </w:pPr>
          </w:p>
          <w:p w14:paraId="2CAA7AE9" w14:textId="04D85341" w:rsidR="00061842" w:rsidRDefault="00DF1FC8">
            <w:pPr>
              <w:numPr>
                <w:ilvl w:val="0"/>
                <w:numId w:val="3"/>
              </w:numPr>
              <w:rPr>
                <w:sz w:val="20"/>
                <w:szCs w:val="20"/>
              </w:rPr>
            </w:pPr>
            <w:r>
              <w:rPr>
                <w:rFonts w:ascii="Arial" w:eastAsia="Arial" w:hAnsi="Arial" w:cs="Arial"/>
                <w:sz w:val="20"/>
                <w:szCs w:val="20"/>
              </w:rPr>
              <w:t>5-8</w:t>
            </w:r>
            <w:r w:rsidR="00E348E0">
              <w:rPr>
                <w:rFonts w:ascii="Arial" w:eastAsia="Arial" w:hAnsi="Arial" w:cs="Arial"/>
                <w:sz w:val="20"/>
                <w:szCs w:val="20"/>
              </w:rPr>
              <w:t xml:space="preserve"> years professional experience preferably in </w:t>
            </w:r>
            <w:proofErr w:type="spellStart"/>
            <w:r w:rsidR="00E348E0">
              <w:rPr>
                <w:rFonts w:ascii="Arial" w:eastAsia="Arial" w:hAnsi="Arial" w:cs="Arial"/>
                <w:sz w:val="20"/>
                <w:szCs w:val="20"/>
              </w:rPr>
              <w:t>programme</w:t>
            </w:r>
            <w:proofErr w:type="spellEnd"/>
            <w:r w:rsidR="00E348E0">
              <w:rPr>
                <w:rFonts w:ascii="Arial" w:eastAsia="Arial" w:hAnsi="Arial" w:cs="Arial"/>
                <w:sz w:val="20"/>
                <w:szCs w:val="20"/>
              </w:rPr>
              <w:t xml:space="preserve"> management in the public, NGO or private sector, 4 of which should have been  in the area of  Adolescents and  Youth Health and Development and  Gender Mainstreaming. </w:t>
            </w:r>
          </w:p>
          <w:p w14:paraId="233A14B0" w14:textId="77777777" w:rsidR="00061842" w:rsidRDefault="00E348E0">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bookmarkStart w:id="3" w:name="_GoBack"/>
            <w:r>
              <w:rPr>
                <w:rFonts w:ascii="Arial" w:eastAsia="Arial" w:hAnsi="Arial" w:cs="Arial"/>
                <w:sz w:val="20"/>
                <w:szCs w:val="20"/>
              </w:rPr>
              <w:t>Experience working in collaboration with government, development partners, civil society organizations and private sector</w:t>
            </w:r>
            <w:bookmarkEnd w:id="3"/>
            <w:r>
              <w:rPr>
                <w:rFonts w:ascii="Arial" w:eastAsia="Arial" w:hAnsi="Arial" w:cs="Arial"/>
                <w:sz w:val="20"/>
                <w:szCs w:val="20"/>
              </w:rPr>
              <w:t>.</w:t>
            </w:r>
          </w:p>
          <w:p w14:paraId="063867D4" w14:textId="77777777" w:rsidR="00061842" w:rsidRDefault="00E348E0">
            <w:pPr>
              <w:widowControl w:val="0"/>
              <w:numPr>
                <w:ilvl w:val="0"/>
                <w:numId w:val="3"/>
              </w:numPr>
              <w:spacing w:line="276" w:lineRule="auto"/>
              <w:jc w:val="both"/>
              <w:rPr>
                <w:sz w:val="20"/>
                <w:szCs w:val="20"/>
              </w:rPr>
            </w:pPr>
            <w:r>
              <w:rPr>
                <w:rFonts w:ascii="Arial" w:eastAsia="Arial" w:hAnsi="Arial" w:cs="Arial"/>
                <w:sz w:val="20"/>
                <w:szCs w:val="20"/>
              </w:rPr>
              <w:t xml:space="preserve">Excellent technical drafting and report/proposal writing and presentation and interpersonal communication skills  </w:t>
            </w:r>
          </w:p>
          <w:p w14:paraId="3CF3D2DC" w14:textId="77777777" w:rsidR="00061842" w:rsidRDefault="00E348E0">
            <w:pPr>
              <w:numPr>
                <w:ilvl w:val="0"/>
                <w:numId w:val="3"/>
              </w:numPr>
              <w:spacing w:line="276" w:lineRule="auto"/>
              <w:jc w:val="both"/>
              <w:rPr>
                <w:sz w:val="20"/>
                <w:szCs w:val="20"/>
              </w:rPr>
            </w:pPr>
            <w:r>
              <w:rPr>
                <w:rFonts w:ascii="Arial" w:eastAsia="Arial" w:hAnsi="Arial" w:cs="Arial"/>
                <w:sz w:val="20"/>
                <w:szCs w:val="20"/>
              </w:rPr>
              <w:t>Proven ability to effectively collaborate with team members to achieve demonstrable results.</w:t>
            </w:r>
          </w:p>
          <w:p w14:paraId="70ED0727" w14:textId="77777777" w:rsidR="00061842" w:rsidRDefault="00E348E0">
            <w:pPr>
              <w:numPr>
                <w:ilvl w:val="0"/>
                <w:numId w:val="3"/>
              </w:numPr>
              <w:spacing w:line="276" w:lineRule="auto"/>
              <w:jc w:val="both"/>
              <w:rPr>
                <w:sz w:val="20"/>
                <w:szCs w:val="20"/>
              </w:rPr>
            </w:pPr>
            <w:r>
              <w:rPr>
                <w:rFonts w:ascii="Arial" w:eastAsia="Arial" w:hAnsi="Arial" w:cs="Arial"/>
                <w:sz w:val="20"/>
                <w:szCs w:val="20"/>
              </w:rPr>
              <w:t xml:space="preserve">Demonstrable capability to cultivate strategic partnerships and to maintain political relations for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development.</w:t>
            </w:r>
          </w:p>
          <w:p w14:paraId="50385D13" w14:textId="77777777" w:rsidR="00061842" w:rsidRDefault="00E348E0">
            <w:pPr>
              <w:numPr>
                <w:ilvl w:val="0"/>
                <w:numId w:val="3"/>
              </w:numPr>
              <w:spacing w:line="276" w:lineRule="auto"/>
              <w:jc w:val="both"/>
              <w:rPr>
                <w:sz w:val="20"/>
                <w:szCs w:val="20"/>
              </w:rPr>
            </w:pPr>
            <w:r>
              <w:rPr>
                <w:rFonts w:ascii="Arial" w:eastAsia="Arial" w:hAnsi="Arial" w:cs="Arial"/>
                <w:sz w:val="20"/>
                <w:szCs w:val="20"/>
              </w:rPr>
              <w:t>Proficiency in  computer skills, particularly  in current office software applications</w:t>
            </w:r>
          </w:p>
          <w:p w14:paraId="1D579020" w14:textId="77777777" w:rsidR="00061842" w:rsidRDefault="00061842">
            <w:pPr>
              <w:jc w:val="both"/>
              <w:rPr>
                <w:rFonts w:ascii="Arial" w:eastAsia="Arial" w:hAnsi="Arial" w:cs="Arial"/>
                <w:sz w:val="20"/>
                <w:szCs w:val="20"/>
              </w:rPr>
            </w:pPr>
          </w:p>
          <w:p w14:paraId="4340D685" w14:textId="77777777" w:rsidR="00061842" w:rsidRDefault="00E348E0">
            <w:pPr>
              <w:jc w:val="both"/>
              <w:rPr>
                <w:sz w:val="20"/>
                <w:szCs w:val="20"/>
              </w:rPr>
            </w:pPr>
            <w:r>
              <w:rPr>
                <w:rFonts w:ascii="Arial" w:eastAsia="Arial" w:hAnsi="Arial" w:cs="Arial"/>
                <w:sz w:val="20"/>
                <w:szCs w:val="20"/>
              </w:rPr>
              <w:t xml:space="preserve"> </w:t>
            </w:r>
          </w:p>
          <w:p w14:paraId="29727D51" w14:textId="77777777" w:rsidR="00061842" w:rsidRDefault="00061842">
            <w:pPr>
              <w:jc w:val="both"/>
              <w:rPr>
                <w:rFonts w:ascii="Arial" w:eastAsia="Arial" w:hAnsi="Arial" w:cs="Arial"/>
                <w:sz w:val="20"/>
                <w:szCs w:val="20"/>
              </w:rPr>
            </w:pPr>
          </w:p>
          <w:p w14:paraId="283E4D77" w14:textId="77777777" w:rsidR="00061842" w:rsidRDefault="00061842">
            <w:pPr>
              <w:jc w:val="both"/>
              <w:rPr>
                <w:rFonts w:ascii="Arial" w:eastAsia="Arial" w:hAnsi="Arial" w:cs="Arial"/>
                <w:sz w:val="20"/>
                <w:szCs w:val="20"/>
              </w:rPr>
            </w:pPr>
          </w:p>
          <w:p w14:paraId="792E9B2E" w14:textId="77777777" w:rsidR="00061842" w:rsidRDefault="00061842">
            <w:pPr>
              <w:jc w:val="both"/>
              <w:rPr>
                <w:rFonts w:ascii="Arial" w:eastAsia="Arial" w:hAnsi="Arial" w:cs="Arial"/>
                <w:sz w:val="20"/>
                <w:szCs w:val="20"/>
              </w:rPr>
            </w:pPr>
          </w:p>
          <w:p w14:paraId="0C042275" w14:textId="77777777" w:rsidR="00061842" w:rsidRDefault="00E348E0">
            <w:pPr>
              <w:jc w:val="both"/>
              <w:rPr>
                <w:rFonts w:ascii="Arial" w:eastAsia="Arial" w:hAnsi="Arial" w:cs="Arial"/>
                <w:sz w:val="20"/>
                <w:szCs w:val="20"/>
                <w:u w:val="single"/>
              </w:rPr>
            </w:pPr>
            <w:r>
              <w:rPr>
                <w:rFonts w:ascii="Arial" w:eastAsia="Arial" w:hAnsi="Arial" w:cs="Arial"/>
                <w:b/>
                <w:sz w:val="20"/>
                <w:szCs w:val="20"/>
                <w:u w:val="single"/>
              </w:rPr>
              <w:lastRenderedPageBreak/>
              <w:t xml:space="preserve">Required Competencies: </w:t>
            </w:r>
          </w:p>
          <w:p w14:paraId="15AAA7F7" w14:textId="77777777" w:rsidR="00061842" w:rsidRDefault="00061842">
            <w:pPr>
              <w:jc w:val="both"/>
              <w:rPr>
                <w:rFonts w:ascii="Arial" w:eastAsia="Arial" w:hAnsi="Arial" w:cs="Arial"/>
                <w:sz w:val="20"/>
                <w:szCs w:val="20"/>
              </w:rPr>
            </w:pPr>
          </w:p>
          <w:p w14:paraId="4EFA70D1" w14:textId="77777777" w:rsidR="00061842" w:rsidRDefault="00E348E0">
            <w:pPr>
              <w:jc w:val="both"/>
              <w:rPr>
                <w:rFonts w:ascii="Arial" w:eastAsia="Arial" w:hAnsi="Arial" w:cs="Arial"/>
                <w:sz w:val="20"/>
                <w:szCs w:val="20"/>
              </w:rPr>
            </w:pPr>
            <w:r>
              <w:rPr>
                <w:rFonts w:ascii="Arial" w:eastAsia="Arial" w:hAnsi="Arial" w:cs="Arial"/>
                <w:b/>
                <w:sz w:val="20"/>
                <w:szCs w:val="20"/>
              </w:rPr>
              <w:t>Core Competencies:   See the Diagram Below</w:t>
            </w:r>
          </w:p>
          <w:p w14:paraId="78C6E3B4" w14:textId="77777777" w:rsidR="00061842" w:rsidRDefault="00061842">
            <w:pPr>
              <w:jc w:val="both"/>
              <w:rPr>
                <w:rFonts w:ascii="Arial" w:eastAsia="Arial" w:hAnsi="Arial" w:cs="Arial"/>
                <w:sz w:val="20"/>
                <w:szCs w:val="20"/>
              </w:rPr>
            </w:pPr>
          </w:p>
          <w:p w14:paraId="011A722C" w14:textId="77777777" w:rsidR="00061842" w:rsidRDefault="00061842">
            <w:pPr>
              <w:jc w:val="both"/>
              <w:rPr>
                <w:rFonts w:ascii="Arial" w:eastAsia="Arial" w:hAnsi="Arial" w:cs="Arial"/>
                <w:sz w:val="20"/>
                <w:szCs w:val="20"/>
              </w:rPr>
            </w:pPr>
          </w:p>
          <w:p w14:paraId="6E9AA62C" w14:textId="77777777" w:rsidR="00061842" w:rsidRDefault="00E348E0">
            <w:pPr>
              <w:jc w:val="both"/>
              <w:rPr>
                <w:rFonts w:ascii="Arial" w:eastAsia="Arial" w:hAnsi="Arial" w:cs="Arial"/>
                <w:sz w:val="20"/>
                <w:szCs w:val="20"/>
              </w:rPr>
            </w:pPr>
            <w:r>
              <w:rPr>
                <w:noProof/>
                <w:lang w:val="en-GB" w:eastAsia="en-GB"/>
              </w:rPr>
              <w:drawing>
                <wp:inline distT="0" distB="0" distL="114300" distR="114300" wp14:anchorId="44BF389E" wp14:editId="76EBF08B">
                  <wp:extent cx="5828030" cy="32562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828030" cy="3256280"/>
                          </a:xfrm>
                          <a:prstGeom prst="rect">
                            <a:avLst/>
                          </a:prstGeom>
                          <a:ln/>
                        </pic:spPr>
                      </pic:pic>
                    </a:graphicData>
                  </a:graphic>
                </wp:inline>
              </w:drawing>
            </w:r>
          </w:p>
          <w:p w14:paraId="3DE5DBEC" w14:textId="77777777" w:rsidR="00061842" w:rsidRDefault="00061842">
            <w:pPr>
              <w:jc w:val="both"/>
              <w:rPr>
                <w:rFonts w:ascii="Arial" w:eastAsia="Arial" w:hAnsi="Arial" w:cs="Arial"/>
                <w:sz w:val="20"/>
                <w:szCs w:val="20"/>
              </w:rPr>
            </w:pPr>
          </w:p>
          <w:p w14:paraId="3632CE5E" w14:textId="77777777" w:rsidR="00061842" w:rsidRDefault="00061842">
            <w:pPr>
              <w:jc w:val="both"/>
              <w:rPr>
                <w:rFonts w:ascii="Arial" w:eastAsia="Arial" w:hAnsi="Arial" w:cs="Arial"/>
                <w:sz w:val="20"/>
                <w:szCs w:val="20"/>
              </w:rPr>
            </w:pPr>
          </w:p>
          <w:p w14:paraId="5623B9A0" w14:textId="77777777" w:rsidR="00061842" w:rsidRDefault="00061842">
            <w:pPr>
              <w:jc w:val="both"/>
              <w:rPr>
                <w:rFonts w:ascii="Arial" w:eastAsia="Arial" w:hAnsi="Arial" w:cs="Arial"/>
                <w:sz w:val="20"/>
                <w:szCs w:val="20"/>
              </w:rPr>
            </w:pPr>
          </w:p>
          <w:p w14:paraId="339501EC" w14:textId="77777777" w:rsidR="00061842" w:rsidRDefault="00061842">
            <w:pPr>
              <w:jc w:val="both"/>
              <w:rPr>
                <w:rFonts w:ascii="Arial" w:eastAsia="Arial" w:hAnsi="Arial" w:cs="Arial"/>
                <w:sz w:val="20"/>
                <w:szCs w:val="20"/>
              </w:rPr>
            </w:pPr>
          </w:p>
          <w:p w14:paraId="7677898E" w14:textId="77777777" w:rsidR="00061842" w:rsidRDefault="00E348E0">
            <w:pPr>
              <w:jc w:val="both"/>
              <w:rPr>
                <w:rFonts w:ascii="Arial" w:eastAsia="Arial" w:hAnsi="Arial" w:cs="Arial"/>
                <w:sz w:val="20"/>
                <w:szCs w:val="20"/>
              </w:rPr>
            </w:pPr>
            <w:r>
              <w:rPr>
                <w:rFonts w:ascii="Arial" w:eastAsia="Arial" w:hAnsi="Arial" w:cs="Arial"/>
                <w:b/>
                <w:sz w:val="20"/>
                <w:szCs w:val="20"/>
              </w:rPr>
              <w:t xml:space="preserve">Functional Competencies: </w:t>
            </w:r>
          </w:p>
          <w:p w14:paraId="62E51015" w14:textId="77777777" w:rsidR="00061842" w:rsidRDefault="00061842">
            <w:pPr>
              <w:jc w:val="both"/>
              <w:rPr>
                <w:rFonts w:ascii="Arial" w:eastAsia="Arial" w:hAnsi="Arial" w:cs="Arial"/>
                <w:sz w:val="20"/>
                <w:szCs w:val="20"/>
              </w:rPr>
            </w:pPr>
          </w:p>
          <w:p w14:paraId="08A6ED71" w14:textId="77777777" w:rsidR="00061842" w:rsidRDefault="00E348E0">
            <w:pPr>
              <w:numPr>
                <w:ilvl w:val="0"/>
                <w:numId w:val="1"/>
              </w:numPr>
              <w:spacing w:line="276" w:lineRule="auto"/>
              <w:ind w:left="360"/>
              <w:jc w:val="both"/>
              <w:rPr>
                <w:sz w:val="20"/>
                <w:szCs w:val="20"/>
              </w:rPr>
            </w:pPr>
            <w:r>
              <w:rPr>
                <w:rFonts w:ascii="Arial" w:eastAsia="Arial" w:hAnsi="Arial" w:cs="Arial"/>
                <w:sz w:val="20"/>
                <w:szCs w:val="20"/>
              </w:rPr>
              <w:t>Advocacy/advancing a policy oriented agenda – influencing the public policy agenda; demonstrates political/cultural acumen in proposing technically sound, evidence-based approaches and solutions;</w:t>
            </w:r>
          </w:p>
          <w:p w14:paraId="06EFCC8A" w14:textId="77777777" w:rsidR="00061842" w:rsidRDefault="00061842">
            <w:pPr>
              <w:spacing w:line="276" w:lineRule="auto"/>
              <w:jc w:val="both"/>
              <w:rPr>
                <w:rFonts w:ascii="Arial" w:eastAsia="Arial" w:hAnsi="Arial" w:cs="Arial"/>
                <w:sz w:val="20"/>
                <w:szCs w:val="20"/>
              </w:rPr>
            </w:pPr>
          </w:p>
          <w:p w14:paraId="38867E5C" w14:textId="77777777" w:rsidR="00061842" w:rsidRDefault="00E348E0">
            <w:pPr>
              <w:numPr>
                <w:ilvl w:val="0"/>
                <w:numId w:val="1"/>
              </w:numPr>
              <w:spacing w:line="276" w:lineRule="auto"/>
              <w:ind w:left="360"/>
              <w:jc w:val="both"/>
              <w:rPr>
                <w:sz w:val="20"/>
                <w:szCs w:val="20"/>
              </w:rPr>
            </w:pPr>
            <w:r>
              <w:rPr>
                <w:rFonts w:ascii="Arial" w:eastAsia="Arial" w:hAnsi="Arial" w:cs="Arial"/>
                <w:sz w:val="20"/>
                <w:szCs w:val="20"/>
              </w:rPr>
              <w:t xml:space="preserve">Results based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development and management – achieving results through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design and innovative resourcing strategies; ensures integration of UNFPA’s strategic concerns in inter-agency, other multilateral initiatives and multi-</w:t>
            </w:r>
            <w:proofErr w:type="spellStart"/>
            <w:r>
              <w:rPr>
                <w:rFonts w:ascii="Arial" w:eastAsia="Arial" w:hAnsi="Arial" w:cs="Arial"/>
                <w:sz w:val="20"/>
                <w:szCs w:val="20"/>
              </w:rPr>
              <w:t>sectoral</w:t>
            </w:r>
            <w:proofErr w:type="spellEnd"/>
            <w:r>
              <w:rPr>
                <w:rFonts w:ascii="Arial" w:eastAsia="Arial" w:hAnsi="Arial" w:cs="Arial"/>
                <w:sz w:val="20"/>
                <w:szCs w:val="20"/>
              </w:rPr>
              <w:t xml:space="preserve"> development frameworks;</w:t>
            </w:r>
          </w:p>
          <w:p w14:paraId="1AAA5A0E" w14:textId="77777777" w:rsidR="00061842" w:rsidRDefault="00061842">
            <w:pPr>
              <w:spacing w:line="276" w:lineRule="auto"/>
              <w:jc w:val="both"/>
              <w:rPr>
                <w:rFonts w:ascii="Arial" w:eastAsia="Arial" w:hAnsi="Arial" w:cs="Arial"/>
                <w:sz w:val="20"/>
                <w:szCs w:val="20"/>
              </w:rPr>
            </w:pPr>
          </w:p>
          <w:p w14:paraId="144D7B45" w14:textId="77777777" w:rsidR="00061842" w:rsidRDefault="00E348E0">
            <w:pPr>
              <w:numPr>
                <w:ilvl w:val="0"/>
                <w:numId w:val="1"/>
              </w:numPr>
              <w:spacing w:line="276" w:lineRule="auto"/>
              <w:ind w:left="360"/>
              <w:jc w:val="both"/>
              <w:rPr>
                <w:sz w:val="20"/>
                <w:szCs w:val="20"/>
              </w:rPr>
            </w:pPr>
            <w:r>
              <w:rPr>
                <w:rFonts w:ascii="Arial" w:eastAsia="Arial" w:hAnsi="Arial" w:cs="Arial"/>
                <w:sz w:val="20"/>
                <w:szCs w:val="20"/>
              </w:rPr>
              <w:t>Leveraging the resources of partners/ building strategic alliances and partnerships – building strategic alliances; makes effective use of UNFPA’s resources and comparative advantage to strengthen alliances;</w:t>
            </w:r>
          </w:p>
          <w:p w14:paraId="7B7EB1AC" w14:textId="77777777" w:rsidR="00061842" w:rsidRDefault="00061842">
            <w:pPr>
              <w:spacing w:line="276" w:lineRule="auto"/>
              <w:jc w:val="both"/>
              <w:rPr>
                <w:rFonts w:ascii="Arial" w:eastAsia="Arial" w:hAnsi="Arial" w:cs="Arial"/>
                <w:sz w:val="20"/>
                <w:szCs w:val="20"/>
              </w:rPr>
            </w:pPr>
          </w:p>
          <w:p w14:paraId="467308BF" w14:textId="77777777" w:rsidR="00061842" w:rsidRDefault="00E348E0">
            <w:pPr>
              <w:numPr>
                <w:ilvl w:val="0"/>
                <w:numId w:val="1"/>
              </w:numPr>
              <w:spacing w:line="276" w:lineRule="auto"/>
              <w:ind w:left="360"/>
              <w:jc w:val="both"/>
              <w:rPr>
                <w:sz w:val="20"/>
                <w:szCs w:val="20"/>
              </w:rPr>
            </w:pPr>
            <w:r>
              <w:rPr>
                <w:rFonts w:ascii="Arial" w:eastAsia="Arial" w:hAnsi="Arial" w:cs="Arial"/>
                <w:sz w:val="20"/>
                <w:szCs w:val="20"/>
              </w:rPr>
              <w:t>Innovation and marketing of new approaches – fostering innovation in others; creates an environment that fosters innovation and innovative thinking;</w:t>
            </w:r>
          </w:p>
          <w:p w14:paraId="46236B91" w14:textId="77777777" w:rsidR="00061842" w:rsidRDefault="00061842">
            <w:pPr>
              <w:spacing w:line="276" w:lineRule="auto"/>
              <w:jc w:val="both"/>
              <w:rPr>
                <w:rFonts w:ascii="Arial" w:eastAsia="Arial" w:hAnsi="Arial" w:cs="Arial"/>
                <w:sz w:val="20"/>
                <w:szCs w:val="20"/>
              </w:rPr>
            </w:pPr>
          </w:p>
          <w:p w14:paraId="57E26DE5" w14:textId="77777777" w:rsidR="00061842" w:rsidRDefault="00E348E0">
            <w:pPr>
              <w:numPr>
                <w:ilvl w:val="0"/>
                <w:numId w:val="1"/>
              </w:numPr>
              <w:spacing w:line="276" w:lineRule="auto"/>
              <w:ind w:left="360"/>
              <w:jc w:val="both"/>
              <w:rPr>
                <w:sz w:val="20"/>
                <w:szCs w:val="20"/>
              </w:rPr>
            </w:pPr>
            <w:r>
              <w:rPr>
                <w:rFonts w:ascii="Arial" w:eastAsia="Arial" w:hAnsi="Arial" w:cs="Arial"/>
                <w:sz w:val="20"/>
                <w:szCs w:val="20"/>
              </w:rPr>
              <w:t>Job knowledge/technical expertise – expert knowledge of own discipline; possesses expert knowledge of advanced concepts in primary discipline, a broad knowledge of related disciplines, as well as in-depth knowledge of relevant organizational policies and procedures.</w:t>
            </w:r>
          </w:p>
          <w:p w14:paraId="249ECA54" w14:textId="77777777" w:rsidR="00061842" w:rsidRDefault="00061842">
            <w:pPr>
              <w:jc w:val="both"/>
              <w:rPr>
                <w:rFonts w:ascii="Arial" w:eastAsia="Arial" w:hAnsi="Arial" w:cs="Arial"/>
                <w:sz w:val="20"/>
                <w:szCs w:val="20"/>
              </w:rPr>
            </w:pPr>
          </w:p>
          <w:p w14:paraId="7AC4ADB6" w14:textId="77777777" w:rsidR="00061842" w:rsidRDefault="00061842">
            <w:pPr>
              <w:jc w:val="both"/>
              <w:rPr>
                <w:rFonts w:ascii="Arial" w:eastAsia="Arial" w:hAnsi="Arial" w:cs="Arial"/>
                <w:sz w:val="20"/>
                <w:szCs w:val="20"/>
              </w:rPr>
            </w:pPr>
          </w:p>
          <w:p w14:paraId="66491DF8" w14:textId="77777777" w:rsidR="00061842" w:rsidRDefault="00E348E0">
            <w:pPr>
              <w:jc w:val="both"/>
              <w:rPr>
                <w:rFonts w:ascii="Arial" w:eastAsia="Arial" w:hAnsi="Arial" w:cs="Arial"/>
                <w:sz w:val="20"/>
                <w:szCs w:val="20"/>
              </w:rPr>
            </w:pPr>
            <w:r>
              <w:rPr>
                <w:rFonts w:ascii="Arial" w:eastAsia="Arial" w:hAnsi="Arial" w:cs="Arial"/>
                <w:b/>
                <w:sz w:val="20"/>
                <w:szCs w:val="20"/>
              </w:rPr>
              <w:t xml:space="preserve">Languages: </w:t>
            </w:r>
          </w:p>
          <w:p w14:paraId="1E0FA0DE" w14:textId="77777777" w:rsidR="00061842" w:rsidRDefault="00061842">
            <w:pPr>
              <w:jc w:val="both"/>
              <w:rPr>
                <w:rFonts w:ascii="Arial" w:eastAsia="Arial" w:hAnsi="Arial" w:cs="Arial"/>
                <w:sz w:val="20"/>
                <w:szCs w:val="20"/>
              </w:rPr>
            </w:pPr>
          </w:p>
          <w:p w14:paraId="589B1C18" w14:textId="77777777" w:rsidR="00061842" w:rsidRDefault="00E348E0">
            <w:pPr>
              <w:jc w:val="both"/>
              <w:rPr>
                <w:rFonts w:ascii="Arial" w:eastAsia="Arial" w:hAnsi="Arial" w:cs="Arial"/>
                <w:sz w:val="20"/>
                <w:szCs w:val="20"/>
              </w:rPr>
            </w:pPr>
            <w:r>
              <w:rPr>
                <w:rFonts w:ascii="Arial" w:eastAsia="Arial" w:hAnsi="Arial" w:cs="Arial"/>
                <w:sz w:val="20"/>
                <w:szCs w:val="20"/>
              </w:rPr>
              <w:t xml:space="preserve">Fluency in English. </w:t>
            </w:r>
          </w:p>
          <w:p w14:paraId="5191AE71" w14:textId="77777777" w:rsidR="00061842" w:rsidRDefault="00061842">
            <w:pPr>
              <w:jc w:val="both"/>
              <w:rPr>
                <w:rFonts w:ascii="Arial" w:eastAsia="Arial" w:hAnsi="Arial" w:cs="Arial"/>
                <w:sz w:val="20"/>
                <w:szCs w:val="20"/>
              </w:rPr>
            </w:pPr>
          </w:p>
        </w:tc>
      </w:tr>
    </w:tbl>
    <w:p w14:paraId="4D3A4EF9" w14:textId="77777777" w:rsidR="00061842" w:rsidRDefault="00061842">
      <w:pPr>
        <w:rPr>
          <w:rFonts w:ascii="Arial" w:eastAsia="Arial" w:hAnsi="Arial" w:cs="Arial"/>
          <w:sz w:val="20"/>
          <w:szCs w:val="20"/>
        </w:rPr>
      </w:pPr>
    </w:p>
    <w:p w14:paraId="50F47761" w14:textId="77777777" w:rsidR="00061842" w:rsidRDefault="00061842">
      <w:pPr>
        <w:rPr>
          <w:rFonts w:ascii="Arial" w:eastAsia="Arial" w:hAnsi="Arial" w:cs="Arial"/>
          <w:sz w:val="20"/>
          <w:szCs w:val="20"/>
        </w:rPr>
      </w:pPr>
    </w:p>
    <w:p w14:paraId="4D94A4AC" w14:textId="77777777" w:rsidR="00061842" w:rsidRDefault="00E348E0">
      <w:pPr>
        <w:rPr>
          <w:rFonts w:ascii="Arial" w:eastAsia="Arial" w:hAnsi="Arial" w:cs="Arial"/>
          <w:sz w:val="20"/>
          <w:szCs w:val="20"/>
        </w:rPr>
      </w:pPr>
      <w:r>
        <w:rPr>
          <w:rFonts w:ascii="Arial" w:eastAsia="Arial" w:hAnsi="Arial" w:cs="Arial"/>
          <w:b/>
          <w:sz w:val="20"/>
          <w:szCs w:val="20"/>
        </w:rPr>
        <w:t>6.</w:t>
      </w:r>
      <w:r>
        <w:rPr>
          <w:rFonts w:ascii="Arial" w:eastAsia="Arial" w:hAnsi="Arial" w:cs="Arial"/>
          <w:b/>
          <w:sz w:val="20"/>
          <w:szCs w:val="20"/>
        </w:rPr>
        <w:tab/>
        <w:t>Signatures/Certification:</w:t>
      </w:r>
    </w:p>
    <w:p w14:paraId="5A7E2B8E" w14:textId="77777777" w:rsidR="00061842" w:rsidRDefault="00061842">
      <w:pPr>
        <w:rPr>
          <w:rFonts w:ascii="Arial" w:eastAsia="Arial" w:hAnsi="Arial" w:cs="Arial"/>
          <w:sz w:val="20"/>
          <w:szCs w:val="20"/>
        </w:rPr>
      </w:pPr>
    </w:p>
    <w:p w14:paraId="3559D4F5" w14:textId="77777777" w:rsidR="00061842" w:rsidRDefault="00061842">
      <w:pPr>
        <w:rPr>
          <w:rFonts w:ascii="Arial" w:eastAsia="Arial" w:hAnsi="Arial" w:cs="Arial"/>
          <w:sz w:val="20"/>
          <w:szCs w:val="20"/>
        </w:rPr>
      </w:pPr>
    </w:p>
    <w:tbl>
      <w:tblPr>
        <w:tblStyle w:val="a5"/>
        <w:tblW w:w="874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320"/>
        <w:gridCol w:w="4428"/>
      </w:tblGrid>
      <w:tr w:rsidR="00061842" w14:paraId="4FEADCED" w14:textId="77777777">
        <w:trPr>
          <w:trHeight w:val="320"/>
        </w:trPr>
        <w:tc>
          <w:tcPr>
            <w:tcW w:w="4320" w:type="dxa"/>
            <w:vAlign w:val="center"/>
          </w:tcPr>
          <w:p w14:paraId="524B83D5" w14:textId="77777777" w:rsidR="00061842" w:rsidRDefault="00061842">
            <w:pPr>
              <w:rPr>
                <w:rFonts w:ascii="Arial" w:eastAsia="Arial" w:hAnsi="Arial" w:cs="Arial"/>
                <w:sz w:val="20"/>
                <w:szCs w:val="20"/>
              </w:rPr>
            </w:pPr>
          </w:p>
          <w:p w14:paraId="360D7180" w14:textId="77777777" w:rsidR="00061842" w:rsidRDefault="00061842">
            <w:pPr>
              <w:rPr>
                <w:rFonts w:ascii="Arial" w:eastAsia="Arial" w:hAnsi="Arial" w:cs="Arial"/>
                <w:sz w:val="20"/>
                <w:szCs w:val="20"/>
              </w:rPr>
            </w:pPr>
          </w:p>
          <w:p w14:paraId="3CC7FD4A" w14:textId="77777777" w:rsidR="00061842" w:rsidRDefault="00E348E0">
            <w:pPr>
              <w:rPr>
                <w:rFonts w:ascii="Arial" w:eastAsia="Arial" w:hAnsi="Arial" w:cs="Arial"/>
                <w:sz w:val="20"/>
                <w:szCs w:val="20"/>
              </w:rPr>
            </w:pPr>
            <w:r>
              <w:rPr>
                <w:rFonts w:ascii="Arial" w:eastAsia="Arial" w:hAnsi="Arial" w:cs="Arial"/>
                <w:b/>
                <w:sz w:val="20"/>
                <w:szCs w:val="20"/>
              </w:rPr>
              <w:t xml:space="preserve">Incumbent’s Name &amp; Signature </w:t>
            </w:r>
          </w:p>
          <w:p w14:paraId="5F4CC5CA" w14:textId="77777777" w:rsidR="00061842" w:rsidRDefault="00E348E0">
            <w:pPr>
              <w:rPr>
                <w:rFonts w:ascii="Arial" w:eastAsia="Arial" w:hAnsi="Arial" w:cs="Arial"/>
                <w:sz w:val="20"/>
                <w:szCs w:val="20"/>
              </w:rPr>
            </w:pPr>
            <w:r>
              <w:rPr>
                <w:rFonts w:ascii="Arial" w:eastAsia="Arial" w:hAnsi="Arial" w:cs="Arial"/>
                <w:b/>
                <w:sz w:val="20"/>
                <w:szCs w:val="20"/>
              </w:rPr>
              <w:t>(If Applicable)</w:t>
            </w:r>
          </w:p>
        </w:tc>
        <w:tc>
          <w:tcPr>
            <w:tcW w:w="4428" w:type="dxa"/>
            <w:vAlign w:val="center"/>
          </w:tcPr>
          <w:p w14:paraId="1F4CC248" w14:textId="77777777" w:rsidR="00061842" w:rsidRDefault="00061842">
            <w:pPr>
              <w:pBdr>
                <w:bottom w:val="single" w:sz="12" w:space="1" w:color="000000"/>
              </w:pBdr>
              <w:jc w:val="center"/>
              <w:rPr>
                <w:rFonts w:ascii="Arial" w:eastAsia="Arial" w:hAnsi="Arial" w:cs="Arial"/>
                <w:sz w:val="20"/>
                <w:szCs w:val="20"/>
              </w:rPr>
            </w:pPr>
          </w:p>
          <w:p w14:paraId="5EC60D36" w14:textId="77777777" w:rsidR="00061842" w:rsidRDefault="00061842">
            <w:pPr>
              <w:pBdr>
                <w:bottom w:val="single" w:sz="12" w:space="1" w:color="000000"/>
              </w:pBdr>
              <w:jc w:val="center"/>
              <w:rPr>
                <w:rFonts w:ascii="Arial" w:eastAsia="Arial" w:hAnsi="Arial" w:cs="Arial"/>
                <w:sz w:val="20"/>
                <w:szCs w:val="20"/>
              </w:rPr>
            </w:pPr>
          </w:p>
          <w:p w14:paraId="6EF5AE46" w14:textId="77777777" w:rsidR="00061842" w:rsidRDefault="00061842">
            <w:pPr>
              <w:pBdr>
                <w:bottom w:val="single" w:sz="12" w:space="1" w:color="000000"/>
              </w:pBdr>
              <w:jc w:val="center"/>
              <w:rPr>
                <w:rFonts w:ascii="Arial" w:eastAsia="Arial" w:hAnsi="Arial" w:cs="Arial"/>
                <w:sz w:val="20"/>
                <w:szCs w:val="20"/>
              </w:rPr>
            </w:pPr>
          </w:p>
          <w:p w14:paraId="622BB594" w14:textId="77777777" w:rsidR="00061842" w:rsidRDefault="00061842">
            <w:pPr>
              <w:pBdr>
                <w:bottom w:val="single" w:sz="12" w:space="1" w:color="000000"/>
              </w:pBdr>
              <w:jc w:val="center"/>
              <w:rPr>
                <w:rFonts w:ascii="Arial" w:eastAsia="Arial" w:hAnsi="Arial" w:cs="Arial"/>
                <w:sz w:val="20"/>
                <w:szCs w:val="20"/>
              </w:rPr>
            </w:pPr>
          </w:p>
          <w:p w14:paraId="41E1DC3C" w14:textId="77777777" w:rsidR="00061842" w:rsidRDefault="00061842">
            <w:pPr>
              <w:pBdr>
                <w:bottom w:val="single" w:sz="12" w:space="1" w:color="000000"/>
              </w:pBdr>
              <w:jc w:val="center"/>
              <w:rPr>
                <w:rFonts w:ascii="Arial" w:eastAsia="Arial" w:hAnsi="Arial" w:cs="Arial"/>
                <w:sz w:val="20"/>
                <w:szCs w:val="20"/>
              </w:rPr>
            </w:pPr>
          </w:p>
          <w:p w14:paraId="10CAD21A" w14:textId="77777777" w:rsidR="00061842" w:rsidRDefault="00E348E0">
            <w:pPr>
              <w:jc w:val="center"/>
              <w:rPr>
                <w:rFonts w:ascii="Arial" w:eastAsia="Arial" w:hAnsi="Arial" w:cs="Arial"/>
                <w:sz w:val="20"/>
                <w:szCs w:val="20"/>
              </w:rPr>
            </w:pPr>
            <w:r>
              <w:rPr>
                <w:rFonts w:ascii="Arial" w:eastAsia="Arial" w:hAnsi="Arial" w:cs="Arial"/>
                <w:b/>
                <w:sz w:val="20"/>
                <w:szCs w:val="20"/>
              </w:rPr>
              <w:t>Date</w:t>
            </w:r>
          </w:p>
        </w:tc>
      </w:tr>
      <w:tr w:rsidR="00061842" w14:paraId="77B6F9FD" w14:textId="77777777">
        <w:trPr>
          <w:trHeight w:val="180"/>
        </w:trPr>
        <w:tc>
          <w:tcPr>
            <w:tcW w:w="4320" w:type="dxa"/>
          </w:tcPr>
          <w:p w14:paraId="002A53C2" w14:textId="77777777" w:rsidR="00061842" w:rsidRDefault="00061842">
            <w:pPr>
              <w:jc w:val="center"/>
              <w:rPr>
                <w:rFonts w:ascii="Arial" w:eastAsia="Arial" w:hAnsi="Arial" w:cs="Arial"/>
                <w:sz w:val="20"/>
                <w:szCs w:val="20"/>
              </w:rPr>
            </w:pPr>
          </w:p>
        </w:tc>
        <w:tc>
          <w:tcPr>
            <w:tcW w:w="4428" w:type="dxa"/>
          </w:tcPr>
          <w:p w14:paraId="72DBDCEA" w14:textId="77777777" w:rsidR="00061842" w:rsidRDefault="00061842">
            <w:pPr>
              <w:jc w:val="center"/>
              <w:rPr>
                <w:rFonts w:ascii="Arial" w:eastAsia="Arial" w:hAnsi="Arial" w:cs="Arial"/>
                <w:sz w:val="20"/>
                <w:szCs w:val="20"/>
              </w:rPr>
            </w:pPr>
          </w:p>
        </w:tc>
      </w:tr>
      <w:tr w:rsidR="00061842" w14:paraId="46526148" w14:textId="77777777">
        <w:trPr>
          <w:trHeight w:val="720"/>
        </w:trPr>
        <w:tc>
          <w:tcPr>
            <w:tcW w:w="4320" w:type="dxa"/>
            <w:vAlign w:val="center"/>
          </w:tcPr>
          <w:p w14:paraId="41A1463D" w14:textId="77777777" w:rsidR="00061842" w:rsidRDefault="00E348E0">
            <w:pPr>
              <w:rPr>
                <w:rFonts w:ascii="Arial" w:eastAsia="Arial" w:hAnsi="Arial" w:cs="Arial"/>
                <w:sz w:val="20"/>
                <w:szCs w:val="20"/>
              </w:rPr>
            </w:pPr>
            <w:r>
              <w:rPr>
                <w:rFonts w:ascii="Arial" w:eastAsia="Arial" w:hAnsi="Arial" w:cs="Arial"/>
                <w:b/>
                <w:sz w:val="20"/>
                <w:szCs w:val="20"/>
              </w:rPr>
              <w:t xml:space="preserve">Immediate Supervisor’s Name &amp; Signature </w:t>
            </w:r>
          </w:p>
          <w:p w14:paraId="63105837" w14:textId="77777777" w:rsidR="00061842" w:rsidRDefault="00061842">
            <w:pPr>
              <w:rPr>
                <w:rFonts w:ascii="Arial" w:eastAsia="Arial" w:hAnsi="Arial" w:cs="Arial"/>
                <w:sz w:val="20"/>
                <w:szCs w:val="20"/>
              </w:rPr>
            </w:pPr>
          </w:p>
        </w:tc>
        <w:tc>
          <w:tcPr>
            <w:tcW w:w="4428" w:type="dxa"/>
            <w:vAlign w:val="center"/>
          </w:tcPr>
          <w:p w14:paraId="05152FD1" w14:textId="77777777" w:rsidR="00061842" w:rsidRDefault="00061842">
            <w:pPr>
              <w:jc w:val="center"/>
              <w:rPr>
                <w:rFonts w:ascii="Arial" w:eastAsia="Arial" w:hAnsi="Arial" w:cs="Arial"/>
                <w:sz w:val="20"/>
                <w:szCs w:val="20"/>
              </w:rPr>
            </w:pPr>
          </w:p>
          <w:p w14:paraId="18D825BE" w14:textId="77777777" w:rsidR="00061842" w:rsidRDefault="00061842">
            <w:pPr>
              <w:pBdr>
                <w:bottom w:val="single" w:sz="12" w:space="1" w:color="000000"/>
              </w:pBdr>
              <w:jc w:val="center"/>
              <w:rPr>
                <w:rFonts w:ascii="Arial" w:eastAsia="Arial" w:hAnsi="Arial" w:cs="Arial"/>
                <w:sz w:val="20"/>
                <w:szCs w:val="20"/>
              </w:rPr>
            </w:pPr>
          </w:p>
          <w:p w14:paraId="372CA212" w14:textId="77777777" w:rsidR="00061842" w:rsidRDefault="00E348E0">
            <w:pPr>
              <w:jc w:val="center"/>
              <w:rPr>
                <w:rFonts w:ascii="Arial" w:eastAsia="Arial" w:hAnsi="Arial" w:cs="Arial"/>
                <w:sz w:val="20"/>
                <w:szCs w:val="20"/>
              </w:rPr>
            </w:pPr>
            <w:r>
              <w:rPr>
                <w:rFonts w:ascii="Arial" w:eastAsia="Arial" w:hAnsi="Arial" w:cs="Arial"/>
                <w:b/>
                <w:sz w:val="20"/>
                <w:szCs w:val="20"/>
              </w:rPr>
              <w:t>Date</w:t>
            </w:r>
          </w:p>
        </w:tc>
      </w:tr>
      <w:tr w:rsidR="00061842" w14:paraId="0FBD6D7A" w14:textId="77777777">
        <w:trPr>
          <w:trHeight w:val="520"/>
        </w:trPr>
        <w:tc>
          <w:tcPr>
            <w:tcW w:w="4320" w:type="dxa"/>
            <w:vAlign w:val="center"/>
          </w:tcPr>
          <w:p w14:paraId="616AF1B4" w14:textId="77777777" w:rsidR="00061842" w:rsidRDefault="00E348E0">
            <w:pPr>
              <w:rPr>
                <w:rFonts w:ascii="Arial" w:eastAsia="Arial" w:hAnsi="Arial" w:cs="Arial"/>
                <w:sz w:val="20"/>
                <w:szCs w:val="20"/>
              </w:rPr>
            </w:pPr>
            <w:r>
              <w:rPr>
                <w:rFonts w:ascii="Arial" w:eastAsia="Arial" w:hAnsi="Arial" w:cs="Arial"/>
                <w:b/>
                <w:sz w:val="20"/>
                <w:szCs w:val="20"/>
              </w:rPr>
              <w:t xml:space="preserve">Division Director’s Name &amp; Signature </w:t>
            </w:r>
          </w:p>
          <w:p w14:paraId="5EC76B78" w14:textId="77777777" w:rsidR="00061842" w:rsidRDefault="00061842">
            <w:pPr>
              <w:rPr>
                <w:rFonts w:ascii="Arial" w:eastAsia="Arial" w:hAnsi="Arial" w:cs="Arial"/>
                <w:sz w:val="20"/>
                <w:szCs w:val="20"/>
              </w:rPr>
            </w:pPr>
          </w:p>
        </w:tc>
        <w:tc>
          <w:tcPr>
            <w:tcW w:w="4428" w:type="dxa"/>
            <w:vAlign w:val="center"/>
          </w:tcPr>
          <w:p w14:paraId="2372B5B5" w14:textId="77777777" w:rsidR="00061842" w:rsidRDefault="00061842">
            <w:pPr>
              <w:pBdr>
                <w:bottom w:val="single" w:sz="12" w:space="1" w:color="000000"/>
              </w:pBdr>
              <w:jc w:val="center"/>
              <w:rPr>
                <w:rFonts w:ascii="Arial" w:eastAsia="Arial" w:hAnsi="Arial" w:cs="Arial"/>
                <w:sz w:val="20"/>
                <w:szCs w:val="20"/>
              </w:rPr>
            </w:pPr>
          </w:p>
          <w:p w14:paraId="02B1B5CD" w14:textId="77777777" w:rsidR="00061842" w:rsidRDefault="00061842">
            <w:pPr>
              <w:pBdr>
                <w:bottom w:val="single" w:sz="12" w:space="1" w:color="000000"/>
              </w:pBdr>
              <w:jc w:val="center"/>
              <w:rPr>
                <w:rFonts w:ascii="Arial" w:eastAsia="Arial" w:hAnsi="Arial" w:cs="Arial"/>
                <w:sz w:val="20"/>
                <w:szCs w:val="20"/>
              </w:rPr>
            </w:pPr>
          </w:p>
          <w:p w14:paraId="7698332A" w14:textId="77777777" w:rsidR="00061842" w:rsidRDefault="00061842">
            <w:pPr>
              <w:jc w:val="center"/>
              <w:rPr>
                <w:rFonts w:ascii="Arial" w:eastAsia="Arial" w:hAnsi="Arial" w:cs="Arial"/>
                <w:sz w:val="20"/>
                <w:szCs w:val="20"/>
              </w:rPr>
            </w:pPr>
          </w:p>
          <w:p w14:paraId="47EFCD38" w14:textId="77777777" w:rsidR="00061842" w:rsidRDefault="00061842">
            <w:pPr>
              <w:pBdr>
                <w:bottom w:val="single" w:sz="12" w:space="1" w:color="000000"/>
              </w:pBdr>
              <w:jc w:val="center"/>
              <w:rPr>
                <w:rFonts w:ascii="Arial" w:eastAsia="Arial" w:hAnsi="Arial" w:cs="Arial"/>
                <w:sz w:val="20"/>
                <w:szCs w:val="20"/>
              </w:rPr>
            </w:pPr>
          </w:p>
          <w:p w14:paraId="55A0AA98" w14:textId="77777777" w:rsidR="00061842" w:rsidRDefault="00E348E0">
            <w:pPr>
              <w:jc w:val="center"/>
              <w:rPr>
                <w:rFonts w:ascii="Arial" w:eastAsia="Arial" w:hAnsi="Arial" w:cs="Arial"/>
                <w:sz w:val="20"/>
                <w:szCs w:val="20"/>
              </w:rPr>
            </w:pPr>
            <w:r>
              <w:rPr>
                <w:rFonts w:ascii="Arial" w:eastAsia="Arial" w:hAnsi="Arial" w:cs="Arial"/>
                <w:b/>
                <w:sz w:val="20"/>
                <w:szCs w:val="20"/>
              </w:rPr>
              <w:t>Date</w:t>
            </w:r>
          </w:p>
        </w:tc>
      </w:tr>
      <w:tr w:rsidR="00061842" w14:paraId="3E106F14" w14:textId="77777777">
        <w:trPr>
          <w:trHeight w:val="520"/>
        </w:trPr>
        <w:tc>
          <w:tcPr>
            <w:tcW w:w="4320" w:type="dxa"/>
            <w:vAlign w:val="center"/>
          </w:tcPr>
          <w:p w14:paraId="711D9624" w14:textId="77777777" w:rsidR="00061842" w:rsidRDefault="00061842">
            <w:pPr>
              <w:rPr>
                <w:rFonts w:ascii="Arial" w:eastAsia="Arial" w:hAnsi="Arial" w:cs="Arial"/>
                <w:sz w:val="20"/>
                <w:szCs w:val="20"/>
              </w:rPr>
            </w:pPr>
          </w:p>
        </w:tc>
        <w:tc>
          <w:tcPr>
            <w:tcW w:w="4428" w:type="dxa"/>
            <w:vAlign w:val="center"/>
          </w:tcPr>
          <w:p w14:paraId="1715E575" w14:textId="77777777" w:rsidR="00061842" w:rsidRDefault="00061842">
            <w:pPr>
              <w:jc w:val="center"/>
              <w:rPr>
                <w:rFonts w:ascii="Arial" w:eastAsia="Arial" w:hAnsi="Arial" w:cs="Arial"/>
                <w:sz w:val="20"/>
                <w:szCs w:val="20"/>
              </w:rPr>
            </w:pPr>
          </w:p>
        </w:tc>
      </w:tr>
    </w:tbl>
    <w:p w14:paraId="1782273D" w14:textId="77777777" w:rsidR="00061842" w:rsidRDefault="00061842">
      <w:pPr>
        <w:rPr>
          <w:rFonts w:ascii="Arial" w:eastAsia="Arial" w:hAnsi="Arial" w:cs="Arial"/>
          <w:sz w:val="20"/>
          <w:szCs w:val="20"/>
        </w:rPr>
      </w:pPr>
    </w:p>
    <w:p w14:paraId="772801E2" w14:textId="77777777" w:rsidR="00061842" w:rsidRDefault="00061842">
      <w:pPr>
        <w:rPr>
          <w:rFonts w:ascii="Arial" w:eastAsia="Arial" w:hAnsi="Arial" w:cs="Arial"/>
          <w:sz w:val="20"/>
          <w:szCs w:val="20"/>
        </w:rPr>
      </w:pPr>
    </w:p>
    <w:p w14:paraId="54DD3A2E" w14:textId="77777777" w:rsidR="00061842" w:rsidRDefault="00061842">
      <w:pPr>
        <w:rPr>
          <w:rFonts w:ascii="Arial" w:eastAsia="Arial" w:hAnsi="Arial" w:cs="Arial"/>
          <w:sz w:val="20"/>
          <w:szCs w:val="20"/>
        </w:rPr>
      </w:pPr>
    </w:p>
    <w:sectPr w:rsidR="00061842">
      <w:footerReference w:type="default" r:id="rId10"/>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67E80" w15:done="0"/>
  <w15:commentEx w15:paraId="453FDAA1" w15:done="0"/>
  <w15:commentEx w15:paraId="3DB31C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F3005" w14:textId="77777777" w:rsidR="002B67CA" w:rsidRDefault="002B67CA">
      <w:r>
        <w:separator/>
      </w:r>
    </w:p>
  </w:endnote>
  <w:endnote w:type="continuationSeparator" w:id="0">
    <w:p w14:paraId="40E5CC7F" w14:textId="77777777" w:rsidR="002B67CA" w:rsidRDefault="002B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C2F5" w14:textId="77777777" w:rsidR="00061842" w:rsidRDefault="00061842">
    <w:pPr>
      <w:pBdr>
        <w:bottom w:val="single" w:sz="12" w:space="1" w:color="000000"/>
      </w:pBdr>
      <w:tabs>
        <w:tab w:val="center" w:pos="4320"/>
        <w:tab w:val="right" w:pos="8640"/>
      </w:tabs>
    </w:pPr>
  </w:p>
  <w:p w14:paraId="167D09A6" w14:textId="77777777" w:rsidR="00061842" w:rsidRDefault="00782975">
    <w:pPr>
      <w:tabs>
        <w:tab w:val="center" w:pos="4320"/>
        <w:tab w:val="right" w:pos="8640"/>
      </w:tabs>
      <w:rPr>
        <w:rFonts w:ascii="Verdana" w:eastAsia="Verdana" w:hAnsi="Verdana" w:cs="Verdana"/>
        <w:sz w:val="18"/>
        <w:szCs w:val="18"/>
      </w:rPr>
    </w:pPr>
    <w:r>
      <w:rPr>
        <w:rFonts w:ascii="Arial" w:eastAsia="Arial" w:hAnsi="Arial" w:cs="Arial"/>
        <w:sz w:val="18"/>
        <w:szCs w:val="18"/>
      </w:rPr>
      <w:t>SA ASRH – Gender Programme Specialist - 21 February 2018</w:t>
    </w:r>
    <w:r w:rsidR="00E348E0">
      <w:rPr>
        <w:rFonts w:ascii="Arial" w:eastAsia="Arial" w:hAnsi="Arial" w:cs="Arial"/>
        <w:sz w:val="18"/>
        <w:szCs w:val="18"/>
      </w:rPr>
      <w:tab/>
    </w:r>
    <w:r w:rsidR="00E348E0">
      <w:rPr>
        <w:rFonts w:ascii="Arial" w:eastAsia="Arial" w:hAnsi="Arial" w:cs="Arial"/>
        <w:sz w:val="18"/>
        <w:szCs w:val="18"/>
      </w:rPr>
      <w:tab/>
    </w:r>
    <w:r w:rsidR="00E348E0">
      <w:rPr>
        <w:rFonts w:ascii="Verdana" w:eastAsia="Verdana" w:hAnsi="Verdana" w:cs="Verdana"/>
        <w:sz w:val="18"/>
        <w:szCs w:val="18"/>
      </w:rPr>
      <w:fldChar w:fldCharType="begin"/>
    </w:r>
    <w:r w:rsidR="00E348E0">
      <w:rPr>
        <w:rFonts w:ascii="Verdana" w:eastAsia="Verdana" w:hAnsi="Verdana" w:cs="Verdana"/>
        <w:sz w:val="18"/>
        <w:szCs w:val="18"/>
      </w:rPr>
      <w:instrText>PAGE</w:instrText>
    </w:r>
    <w:r w:rsidR="00E348E0">
      <w:rPr>
        <w:rFonts w:ascii="Verdana" w:eastAsia="Verdana" w:hAnsi="Verdana" w:cs="Verdana"/>
        <w:sz w:val="18"/>
        <w:szCs w:val="18"/>
      </w:rPr>
      <w:fldChar w:fldCharType="separate"/>
    </w:r>
    <w:r w:rsidR="00DA2569">
      <w:rPr>
        <w:rFonts w:ascii="Verdana" w:eastAsia="Verdana" w:hAnsi="Verdana" w:cs="Verdana"/>
        <w:noProof/>
        <w:sz w:val="18"/>
        <w:szCs w:val="18"/>
      </w:rPr>
      <w:t>3</w:t>
    </w:r>
    <w:r w:rsidR="00E348E0">
      <w:rPr>
        <w:rFonts w:ascii="Verdana" w:eastAsia="Verdana" w:hAnsi="Verdana" w:cs="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6E227" w14:textId="77777777" w:rsidR="002B67CA" w:rsidRDefault="002B67CA">
      <w:r>
        <w:separator/>
      </w:r>
    </w:p>
  </w:footnote>
  <w:footnote w:type="continuationSeparator" w:id="0">
    <w:p w14:paraId="6DD0BE34" w14:textId="77777777" w:rsidR="002B67CA" w:rsidRDefault="002B6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5EF"/>
    <w:multiLevelType w:val="multilevel"/>
    <w:tmpl w:val="F3908C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472CB9"/>
    <w:multiLevelType w:val="multilevel"/>
    <w:tmpl w:val="D9E6D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C544129"/>
    <w:multiLevelType w:val="multilevel"/>
    <w:tmpl w:val="0F86D82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B5C3BBC"/>
    <w:multiLevelType w:val="multilevel"/>
    <w:tmpl w:val="B32E5A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Tallarico">
    <w15:presenceInfo w15:providerId="AD" w15:userId="S-1-5-21-1391013823-3179747778-777629666-5695"/>
  </w15:person>
  <w15:person w15:author="Sarah Ondimu">
    <w15:presenceInfo w15:providerId="AD" w15:userId="S-1-5-21-1391013823-3179747778-777629666-12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42"/>
    <w:rsid w:val="00061842"/>
    <w:rsid w:val="000D2329"/>
    <w:rsid w:val="001C6CC0"/>
    <w:rsid w:val="002B0178"/>
    <w:rsid w:val="002B67CA"/>
    <w:rsid w:val="00307E2B"/>
    <w:rsid w:val="0031038A"/>
    <w:rsid w:val="0041030A"/>
    <w:rsid w:val="004A384A"/>
    <w:rsid w:val="006B0DE6"/>
    <w:rsid w:val="00782975"/>
    <w:rsid w:val="007E7316"/>
    <w:rsid w:val="00806C66"/>
    <w:rsid w:val="0085003E"/>
    <w:rsid w:val="009E0F4B"/>
    <w:rsid w:val="00A83ACB"/>
    <w:rsid w:val="00AC65C1"/>
    <w:rsid w:val="00C24193"/>
    <w:rsid w:val="00D852CE"/>
    <w:rsid w:val="00DA2569"/>
    <w:rsid w:val="00DF1FC8"/>
    <w:rsid w:val="00E32BC1"/>
    <w:rsid w:val="00E348E0"/>
    <w:rsid w:val="00F5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C66"/>
    <w:rPr>
      <w:rFonts w:ascii="Tahoma" w:hAnsi="Tahoma" w:cs="Tahoma"/>
      <w:sz w:val="16"/>
      <w:szCs w:val="16"/>
    </w:rPr>
  </w:style>
  <w:style w:type="character" w:customStyle="1" w:styleId="BalloonTextChar">
    <w:name w:val="Balloon Text Char"/>
    <w:basedOn w:val="DefaultParagraphFont"/>
    <w:link w:val="BalloonText"/>
    <w:uiPriority w:val="99"/>
    <w:semiHidden/>
    <w:rsid w:val="00806C66"/>
    <w:rPr>
      <w:rFonts w:ascii="Tahoma" w:hAnsi="Tahoma" w:cs="Tahoma"/>
      <w:sz w:val="16"/>
      <w:szCs w:val="16"/>
    </w:rPr>
  </w:style>
  <w:style w:type="paragraph" w:styleId="Header">
    <w:name w:val="header"/>
    <w:basedOn w:val="Normal"/>
    <w:link w:val="HeaderChar"/>
    <w:uiPriority w:val="99"/>
    <w:unhideWhenUsed/>
    <w:rsid w:val="00782975"/>
    <w:pPr>
      <w:tabs>
        <w:tab w:val="center" w:pos="4680"/>
        <w:tab w:val="right" w:pos="9360"/>
      </w:tabs>
    </w:pPr>
  </w:style>
  <w:style w:type="character" w:customStyle="1" w:styleId="HeaderChar">
    <w:name w:val="Header Char"/>
    <w:basedOn w:val="DefaultParagraphFont"/>
    <w:link w:val="Header"/>
    <w:uiPriority w:val="99"/>
    <w:rsid w:val="00782975"/>
  </w:style>
  <w:style w:type="paragraph" w:styleId="Footer">
    <w:name w:val="footer"/>
    <w:basedOn w:val="Normal"/>
    <w:link w:val="FooterChar"/>
    <w:uiPriority w:val="99"/>
    <w:unhideWhenUsed/>
    <w:rsid w:val="00782975"/>
    <w:pPr>
      <w:tabs>
        <w:tab w:val="center" w:pos="4680"/>
        <w:tab w:val="right" w:pos="9360"/>
      </w:tabs>
    </w:pPr>
  </w:style>
  <w:style w:type="character" w:customStyle="1" w:styleId="FooterChar">
    <w:name w:val="Footer Char"/>
    <w:basedOn w:val="DefaultParagraphFont"/>
    <w:link w:val="Footer"/>
    <w:uiPriority w:val="99"/>
    <w:rsid w:val="00782975"/>
  </w:style>
  <w:style w:type="character" w:styleId="CommentReference">
    <w:name w:val="annotation reference"/>
    <w:basedOn w:val="DefaultParagraphFont"/>
    <w:uiPriority w:val="99"/>
    <w:semiHidden/>
    <w:unhideWhenUsed/>
    <w:rsid w:val="004A384A"/>
    <w:rPr>
      <w:sz w:val="16"/>
      <w:szCs w:val="16"/>
    </w:rPr>
  </w:style>
  <w:style w:type="paragraph" w:styleId="CommentText">
    <w:name w:val="annotation text"/>
    <w:basedOn w:val="Normal"/>
    <w:link w:val="CommentTextChar"/>
    <w:uiPriority w:val="99"/>
    <w:semiHidden/>
    <w:unhideWhenUsed/>
    <w:rsid w:val="004A384A"/>
    <w:rPr>
      <w:sz w:val="20"/>
      <w:szCs w:val="20"/>
    </w:rPr>
  </w:style>
  <w:style w:type="character" w:customStyle="1" w:styleId="CommentTextChar">
    <w:name w:val="Comment Text Char"/>
    <w:basedOn w:val="DefaultParagraphFont"/>
    <w:link w:val="CommentText"/>
    <w:uiPriority w:val="99"/>
    <w:semiHidden/>
    <w:rsid w:val="004A384A"/>
    <w:rPr>
      <w:sz w:val="20"/>
      <w:szCs w:val="20"/>
    </w:rPr>
  </w:style>
  <w:style w:type="paragraph" w:styleId="CommentSubject">
    <w:name w:val="annotation subject"/>
    <w:basedOn w:val="CommentText"/>
    <w:next w:val="CommentText"/>
    <w:link w:val="CommentSubjectChar"/>
    <w:uiPriority w:val="99"/>
    <w:semiHidden/>
    <w:unhideWhenUsed/>
    <w:rsid w:val="004A384A"/>
    <w:rPr>
      <w:b/>
      <w:bCs/>
    </w:rPr>
  </w:style>
  <w:style w:type="character" w:customStyle="1" w:styleId="CommentSubjectChar">
    <w:name w:val="Comment Subject Char"/>
    <w:basedOn w:val="CommentTextChar"/>
    <w:link w:val="CommentSubject"/>
    <w:uiPriority w:val="99"/>
    <w:semiHidden/>
    <w:rsid w:val="004A38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C66"/>
    <w:rPr>
      <w:rFonts w:ascii="Tahoma" w:hAnsi="Tahoma" w:cs="Tahoma"/>
      <w:sz w:val="16"/>
      <w:szCs w:val="16"/>
    </w:rPr>
  </w:style>
  <w:style w:type="character" w:customStyle="1" w:styleId="BalloonTextChar">
    <w:name w:val="Balloon Text Char"/>
    <w:basedOn w:val="DefaultParagraphFont"/>
    <w:link w:val="BalloonText"/>
    <w:uiPriority w:val="99"/>
    <w:semiHidden/>
    <w:rsid w:val="00806C66"/>
    <w:rPr>
      <w:rFonts w:ascii="Tahoma" w:hAnsi="Tahoma" w:cs="Tahoma"/>
      <w:sz w:val="16"/>
      <w:szCs w:val="16"/>
    </w:rPr>
  </w:style>
  <w:style w:type="paragraph" w:styleId="Header">
    <w:name w:val="header"/>
    <w:basedOn w:val="Normal"/>
    <w:link w:val="HeaderChar"/>
    <w:uiPriority w:val="99"/>
    <w:unhideWhenUsed/>
    <w:rsid w:val="00782975"/>
    <w:pPr>
      <w:tabs>
        <w:tab w:val="center" w:pos="4680"/>
        <w:tab w:val="right" w:pos="9360"/>
      </w:tabs>
    </w:pPr>
  </w:style>
  <w:style w:type="character" w:customStyle="1" w:styleId="HeaderChar">
    <w:name w:val="Header Char"/>
    <w:basedOn w:val="DefaultParagraphFont"/>
    <w:link w:val="Header"/>
    <w:uiPriority w:val="99"/>
    <w:rsid w:val="00782975"/>
  </w:style>
  <w:style w:type="paragraph" w:styleId="Footer">
    <w:name w:val="footer"/>
    <w:basedOn w:val="Normal"/>
    <w:link w:val="FooterChar"/>
    <w:uiPriority w:val="99"/>
    <w:unhideWhenUsed/>
    <w:rsid w:val="00782975"/>
    <w:pPr>
      <w:tabs>
        <w:tab w:val="center" w:pos="4680"/>
        <w:tab w:val="right" w:pos="9360"/>
      </w:tabs>
    </w:pPr>
  </w:style>
  <w:style w:type="character" w:customStyle="1" w:styleId="FooterChar">
    <w:name w:val="Footer Char"/>
    <w:basedOn w:val="DefaultParagraphFont"/>
    <w:link w:val="Footer"/>
    <w:uiPriority w:val="99"/>
    <w:rsid w:val="00782975"/>
  </w:style>
  <w:style w:type="character" w:styleId="CommentReference">
    <w:name w:val="annotation reference"/>
    <w:basedOn w:val="DefaultParagraphFont"/>
    <w:uiPriority w:val="99"/>
    <w:semiHidden/>
    <w:unhideWhenUsed/>
    <w:rsid w:val="004A384A"/>
    <w:rPr>
      <w:sz w:val="16"/>
      <w:szCs w:val="16"/>
    </w:rPr>
  </w:style>
  <w:style w:type="paragraph" w:styleId="CommentText">
    <w:name w:val="annotation text"/>
    <w:basedOn w:val="Normal"/>
    <w:link w:val="CommentTextChar"/>
    <w:uiPriority w:val="99"/>
    <w:semiHidden/>
    <w:unhideWhenUsed/>
    <w:rsid w:val="004A384A"/>
    <w:rPr>
      <w:sz w:val="20"/>
      <w:szCs w:val="20"/>
    </w:rPr>
  </w:style>
  <w:style w:type="character" w:customStyle="1" w:styleId="CommentTextChar">
    <w:name w:val="Comment Text Char"/>
    <w:basedOn w:val="DefaultParagraphFont"/>
    <w:link w:val="CommentText"/>
    <w:uiPriority w:val="99"/>
    <w:semiHidden/>
    <w:rsid w:val="004A384A"/>
    <w:rPr>
      <w:sz w:val="20"/>
      <w:szCs w:val="20"/>
    </w:rPr>
  </w:style>
  <w:style w:type="paragraph" w:styleId="CommentSubject">
    <w:name w:val="annotation subject"/>
    <w:basedOn w:val="CommentText"/>
    <w:next w:val="CommentText"/>
    <w:link w:val="CommentSubjectChar"/>
    <w:uiPriority w:val="99"/>
    <w:semiHidden/>
    <w:unhideWhenUsed/>
    <w:rsid w:val="004A384A"/>
    <w:rPr>
      <w:b/>
      <w:bCs/>
    </w:rPr>
  </w:style>
  <w:style w:type="character" w:customStyle="1" w:styleId="CommentSubjectChar">
    <w:name w:val="Comment Subject Char"/>
    <w:basedOn w:val="CommentTextChar"/>
    <w:link w:val="CommentSubject"/>
    <w:uiPriority w:val="99"/>
    <w:semiHidden/>
    <w:rsid w:val="004A3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Tlangelani Shilubane</dc:creator>
  <cp:lastModifiedBy>bpembanyali</cp:lastModifiedBy>
  <cp:revision>2</cp:revision>
  <dcterms:created xsi:type="dcterms:W3CDTF">2018-03-12T10:54:00Z</dcterms:created>
  <dcterms:modified xsi:type="dcterms:W3CDTF">2018-03-12T10:54:00Z</dcterms:modified>
</cp:coreProperties>
</file>